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2E76A" w14:textId="77777777" w:rsidR="0088680A" w:rsidRPr="00EE1C60" w:rsidRDefault="0088680A" w:rsidP="00EE1C60">
      <w:pPr>
        <w:spacing w:after="0" w:line="240" w:lineRule="auto"/>
        <w:rPr>
          <w:rFonts w:cs="Times New Roman"/>
          <w:sz w:val="22"/>
        </w:rPr>
      </w:pPr>
    </w:p>
    <w:tbl>
      <w:tblPr>
        <w:tblStyle w:val="Tabela-Siatka"/>
        <w:tblpPr w:leftFromText="141" w:rightFromText="141" w:vertAnchor="text" w:tblpX="-431" w:tblpY="1"/>
        <w:tblOverlap w:val="never"/>
        <w:tblW w:w="14309" w:type="dxa"/>
        <w:tblLook w:val="04A0" w:firstRow="1" w:lastRow="0" w:firstColumn="1" w:lastColumn="0" w:noHBand="0" w:noVBand="1"/>
      </w:tblPr>
      <w:tblGrid>
        <w:gridCol w:w="830"/>
        <w:gridCol w:w="1682"/>
        <w:gridCol w:w="1736"/>
        <w:gridCol w:w="5437"/>
        <w:gridCol w:w="4624"/>
      </w:tblGrid>
      <w:tr w:rsidR="0004003F" w:rsidRPr="00EE1C60" w14:paraId="606905A3" w14:textId="77777777" w:rsidTr="001D2343">
        <w:trPr>
          <w:trHeight w:val="550"/>
          <w:tblHeader/>
        </w:trPr>
        <w:tc>
          <w:tcPr>
            <w:tcW w:w="14309" w:type="dxa"/>
            <w:gridSpan w:val="5"/>
            <w:shd w:val="clear" w:color="auto" w:fill="D5DCE4" w:themeFill="text2" w:themeFillTint="33"/>
          </w:tcPr>
          <w:p w14:paraId="0CC2B384" w14:textId="19CF7503" w:rsidR="0088680A" w:rsidRPr="00EE1C60" w:rsidRDefault="0088680A" w:rsidP="00EE1C60">
            <w:pPr>
              <w:jc w:val="center"/>
              <w:rPr>
                <w:rFonts w:cs="Times New Roman"/>
                <w:b/>
                <w:bCs/>
                <w:sz w:val="22"/>
              </w:rPr>
            </w:pPr>
          </w:p>
          <w:p w14:paraId="3AE8DFB0" w14:textId="22F2C1C2" w:rsidR="005178F6" w:rsidRPr="00EE1C60" w:rsidRDefault="0005541B" w:rsidP="00EE1C60">
            <w:pPr>
              <w:jc w:val="center"/>
              <w:rPr>
                <w:rFonts w:cs="Times New Roman"/>
                <w:b/>
                <w:bCs/>
                <w:sz w:val="22"/>
              </w:rPr>
            </w:pPr>
            <w:r>
              <w:rPr>
                <w:rFonts w:cs="Times New Roman"/>
                <w:b/>
                <w:bCs/>
                <w:sz w:val="22"/>
              </w:rPr>
              <w:t>U</w:t>
            </w:r>
            <w:r w:rsidR="005178F6" w:rsidRPr="00EE1C60">
              <w:rPr>
                <w:rFonts w:cs="Times New Roman"/>
                <w:b/>
                <w:bCs/>
                <w:sz w:val="22"/>
              </w:rPr>
              <w:t>wagi</w:t>
            </w:r>
            <w:r w:rsidR="00E540EF" w:rsidRPr="00EE1C60">
              <w:rPr>
                <w:rFonts w:cs="Times New Roman"/>
                <w:b/>
                <w:bCs/>
                <w:sz w:val="22"/>
              </w:rPr>
              <w:t xml:space="preserve"> zgłoszon</w:t>
            </w:r>
            <w:r w:rsidR="005178F6" w:rsidRPr="00EE1C60">
              <w:rPr>
                <w:rFonts w:cs="Times New Roman"/>
                <w:b/>
                <w:bCs/>
                <w:sz w:val="22"/>
              </w:rPr>
              <w:t>e</w:t>
            </w:r>
            <w:r w:rsidR="00E540EF" w:rsidRPr="00EE1C60">
              <w:rPr>
                <w:rFonts w:cs="Times New Roman"/>
                <w:b/>
                <w:bCs/>
                <w:sz w:val="22"/>
              </w:rPr>
              <w:t xml:space="preserve"> w </w:t>
            </w:r>
            <w:r w:rsidR="005178F6" w:rsidRPr="00EE1C60">
              <w:rPr>
                <w:rFonts w:cs="Times New Roman"/>
                <w:b/>
                <w:bCs/>
                <w:sz w:val="22"/>
              </w:rPr>
              <w:t xml:space="preserve">ramach opiniowania </w:t>
            </w:r>
          </w:p>
          <w:p w14:paraId="4D5D0755" w14:textId="46E46E03" w:rsidR="00E540EF" w:rsidRPr="00EE1C60" w:rsidRDefault="00E540EF" w:rsidP="00EE1C60">
            <w:pPr>
              <w:jc w:val="center"/>
              <w:rPr>
                <w:rFonts w:cs="Times New Roman"/>
                <w:b/>
                <w:bCs/>
                <w:sz w:val="22"/>
              </w:rPr>
            </w:pPr>
            <w:r w:rsidRPr="00EE1C60">
              <w:rPr>
                <w:rFonts w:cs="Times New Roman"/>
                <w:b/>
                <w:bCs/>
                <w:sz w:val="22"/>
              </w:rPr>
              <w:t>do projektu rozporządzenia</w:t>
            </w:r>
            <w:r w:rsidR="005178F6" w:rsidRPr="00EE1C60">
              <w:rPr>
                <w:rFonts w:cs="Times New Roman"/>
                <w:b/>
                <w:bCs/>
                <w:sz w:val="22"/>
              </w:rPr>
              <w:t xml:space="preserve"> </w:t>
            </w:r>
            <w:r w:rsidRPr="00EE1C60">
              <w:rPr>
                <w:rFonts w:cs="Times New Roman"/>
                <w:b/>
                <w:bCs/>
                <w:sz w:val="22"/>
              </w:rPr>
              <w:t xml:space="preserve">Ministra Sprawiedliwości </w:t>
            </w:r>
            <w:r w:rsidR="001721F2" w:rsidRPr="00EE1C60">
              <w:rPr>
                <w:rFonts w:cs="Times New Roman"/>
                <w:b/>
                <w:bCs/>
                <w:sz w:val="22"/>
              </w:rPr>
              <w:t xml:space="preserve">w sprawie określenia trybu i sposobu wnoszenia pism procesowych w postaci elektronicznej za pośrednictwem portalu informacyjnego </w:t>
            </w:r>
            <w:r w:rsidR="0063541E" w:rsidRPr="00EE1C60">
              <w:rPr>
                <w:rFonts w:cs="Times New Roman"/>
                <w:b/>
                <w:bCs/>
                <w:sz w:val="22"/>
              </w:rPr>
              <w:t xml:space="preserve">w postępowaniu karnym </w:t>
            </w:r>
            <w:r w:rsidR="00950E3B" w:rsidRPr="00EE1C60">
              <w:rPr>
                <w:rFonts w:cs="Times New Roman"/>
                <w:b/>
                <w:bCs/>
                <w:sz w:val="22"/>
              </w:rPr>
              <w:t>(</w:t>
            </w:r>
            <w:r w:rsidR="001721F2" w:rsidRPr="00EE1C60">
              <w:rPr>
                <w:rFonts w:cs="Times New Roman"/>
                <w:b/>
                <w:bCs/>
                <w:sz w:val="22"/>
              </w:rPr>
              <w:t>A544</w:t>
            </w:r>
            <w:r w:rsidR="00950E3B" w:rsidRPr="00EE1C60">
              <w:rPr>
                <w:rFonts w:cs="Times New Roman"/>
                <w:b/>
                <w:bCs/>
                <w:sz w:val="22"/>
              </w:rPr>
              <w:t>)</w:t>
            </w:r>
          </w:p>
          <w:p w14:paraId="35678BC0" w14:textId="246D8D38" w:rsidR="000B4394" w:rsidRPr="00EE1C60" w:rsidRDefault="000B4394" w:rsidP="00EE1C60">
            <w:pPr>
              <w:rPr>
                <w:rFonts w:cs="Times New Roman"/>
                <w:b/>
                <w:bCs/>
                <w:sz w:val="22"/>
              </w:rPr>
            </w:pPr>
          </w:p>
        </w:tc>
      </w:tr>
      <w:tr w:rsidR="007F33FA" w:rsidRPr="00EE1C60" w14:paraId="0D68A99B" w14:textId="77777777" w:rsidTr="005178F6">
        <w:trPr>
          <w:trHeight w:val="704"/>
          <w:tblHeader/>
        </w:trPr>
        <w:tc>
          <w:tcPr>
            <w:tcW w:w="830" w:type="dxa"/>
            <w:shd w:val="clear" w:color="auto" w:fill="D5DCE4" w:themeFill="text2" w:themeFillTint="33"/>
          </w:tcPr>
          <w:p w14:paraId="71A1D649" w14:textId="77777777" w:rsidR="0088680A" w:rsidRPr="00EE1C60" w:rsidRDefault="0088680A" w:rsidP="00EE1C60">
            <w:pPr>
              <w:jc w:val="center"/>
              <w:rPr>
                <w:rFonts w:cs="Times New Roman"/>
                <w:b/>
                <w:bCs/>
                <w:sz w:val="22"/>
              </w:rPr>
            </w:pPr>
          </w:p>
          <w:p w14:paraId="380A2398" w14:textId="445D4733" w:rsidR="007F33FA" w:rsidRPr="00EE1C60" w:rsidRDefault="007F33FA" w:rsidP="00EE1C60">
            <w:pPr>
              <w:jc w:val="center"/>
              <w:rPr>
                <w:rFonts w:cs="Times New Roman"/>
                <w:b/>
                <w:bCs/>
                <w:sz w:val="22"/>
              </w:rPr>
            </w:pPr>
            <w:r w:rsidRPr="00EE1C60">
              <w:rPr>
                <w:rFonts w:cs="Times New Roman"/>
                <w:b/>
                <w:bCs/>
                <w:sz w:val="22"/>
              </w:rPr>
              <w:t>Lp.</w:t>
            </w:r>
          </w:p>
        </w:tc>
        <w:tc>
          <w:tcPr>
            <w:tcW w:w="1682" w:type="dxa"/>
            <w:shd w:val="clear" w:color="auto" w:fill="D5DCE4" w:themeFill="text2" w:themeFillTint="33"/>
          </w:tcPr>
          <w:p w14:paraId="15E536C8" w14:textId="77777777" w:rsidR="005178F6" w:rsidRPr="00EE1C60" w:rsidRDefault="005178F6" w:rsidP="00EE1C60">
            <w:pPr>
              <w:jc w:val="center"/>
              <w:rPr>
                <w:rFonts w:cs="Times New Roman"/>
                <w:b/>
                <w:bCs/>
                <w:sz w:val="22"/>
              </w:rPr>
            </w:pPr>
          </w:p>
          <w:p w14:paraId="50D01F5E" w14:textId="75854CEE" w:rsidR="007F33FA" w:rsidRPr="00EE1C60" w:rsidRDefault="005178F6" w:rsidP="00EE1C60">
            <w:pPr>
              <w:jc w:val="center"/>
              <w:rPr>
                <w:rFonts w:cs="Times New Roman"/>
                <w:b/>
                <w:bCs/>
                <w:sz w:val="22"/>
              </w:rPr>
            </w:pPr>
            <w:r w:rsidRPr="00EE1C60">
              <w:rPr>
                <w:rFonts w:cs="Times New Roman"/>
                <w:b/>
                <w:bCs/>
                <w:sz w:val="22"/>
              </w:rPr>
              <w:t>Przepis</w:t>
            </w:r>
          </w:p>
          <w:p w14:paraId="78044ED7" w14:textId="77777777" w:rsidR="0088680A" w:rsidRPr="00EE1C60" w:rsidRDefault="0088680A" w:rsidP="00EE1C60">
            <w:pPr>
              <w:jc w:val="center"/>
              <w:rPr>
                <w:rFonts w:cs="Times New Roman"/>
                <w:b/>
                <w:bCs/>
                <w:sz w:val="22"/>
              </w:rPr>
            </w:pPr>
          </w:p>
        </w:tc>
        <w:tc>
          <w:tcPr>
            <w:tcW w:w="1736" w:type="dxa"/>
            <w:shd w:val="clear" w:color="auto" w:fill="D5DCE4" w:themeFill="text2" w:themeFillTint="33"/>
          </w:tcPr>
          <w:p w14:paraId="489CE32D" w14:textId="5B503B61" w:rsidR="007F33FA" w:rsidRPr="00EE1C60" w:rsidRDefault="007F33FA" w:rsidP="00EE1C60">
            <w:pPr>
              <w:jc w:val="center"/>
              <w:rPr>
                <w:rFonts w:cs="Times New Roman"/>
                <w:b/>
                <w:bCs/>
                <w:sz w:val="22"/>
              </w:rPr>
            </w:pPr>
            <w:r w:rsidRPr="00EE1C60">
              <w:rPr>
                <w:rFonts w:cs="Times New Roman"/>
                <w:b/>
                <w:bCs/>
                <w:sz w:val="22"/>
              </w:rPr>
              <w:t>Podmiot zgłaszający uwagę</w:t>
            </w:r>
          </w:p>
        </w:tc>
        <w:tc>
          <w:tcPr>
            <w:tcW w:w="5437" w:type="dxa"/>
            <w:shd w:val="clear" w:color="auto" w:fill="D5DCE4" w:themeFill="text2" w:themeFillTint="33"/>
          </w:tcPr>
          <w:p w14:paraId="1A7DF941" w14:textId="77777777" w:rsidR="0088680A" w:rsidRPr="00EE1C60" w:rsidRDefault="0088680A" w:rsidP="00EE1C60">
            <w:pPr>
              <w:jc w:val="center"/>
              <w:rPr>
                <w:rFonts w:cs="Times New Roman"/>
                <w:b/>
                <w:bCs/>
                <w:sz w:val="22"/>
              </w:rPr>
            </w:pPr>
          </w:p>
          <w:p w14:paraId="45C402D3" w14:textId="7802B245" w:rsidR="007F33FA" w:rsidRPr="00EE1C60" w:rsidRDefault="007F33FA" w:rsidP="00EE1C60">
            <w:pPr>
              <w:jc w:val="center"/>
              <w:rPr>
                <w:rFonts w:cs="Times New Roman"/>
                <w:b/>
                <w:bCs/>
                <w:sz w:val="22"/>
              </w:rPr>
            </w:pPr>
            <w:r w:rsidRPr="00EE1C60">
              <w:rPr>
                <w:rFonts w:cs="Times New Roman"/>
                <w:b/>
                <w:bCs/>
                <w:sz w:val="22"/>
              </w:rPr>
              <w:t>Treść uwagi</w:t>
            </w:r>
          </w:p>
        </w:tc>
        <w:tc>
          <w:tcPr>
            <w:tcW w:w="4624" w:type="dxa"/>
            <w:shd w:val="clear" w:color="auto" w:fill="D5DCE4" w:themeFill="text2" w:themeFillTint="33"/>
          </w:tcPr>
          <w:p w14:paraId="5DC03ABF" w14:textId="77777777" w:rsidR="0088680A" w:rsidRPr="00EE1C60" w:rsidRDefault="0088680A" w:rsidP="00EE1C60">
            <w:pPr>
              <w:jc w:val="center"/>
              <w:rPr>
                <w:rFonts w:cs="Times New Roman"/>
                <w:b/>
                <w:bCs/>
                <w:color w:val="FF0000"/>
                <w:sz w:val="22"/>
              </w:rPr>
            </w:pPr>
          </w:p>
          <w:p w14:paraId="0BAD2B74" w14:textId="618879D3" w:rsidR="007F33FA" w:rsidRPr="00EE1C60" w:rsidRDefault="007F33FA" w:rsidP="00EE1C60">
            <w:pPr>
              <w:jc w:val="center"/>
              <w:rPr>
                <w:rFonts w:cs="Times New Roman"/>
                <w:b/>
                <w:bCs/>
                <w:color w:val="FF0000"/>
                <w:sz w:val="22"/>
              </w:rPr>
            </w:pPr>
            <w:r w:rsidRPr="00EE1C60">
              <w:rPr>
                <w:rFonts w:cs="Times New Roman"/>
                <w:b/>
                <w:bCs/>
                <w:sz w:val="22"/>
              </w:rPr>
              <w:t>Stanowisko</w:t>
            </w:r>
            <w:r w:rsidR="00672E69" w:rsidRPr="00EE1C60">
              <w:rPr>
                <w:rFonts w:cs="Times New Roman"/>
                <w:b/>
                <w:bCs/>
                <w:sz w:val="22"/>
              </w:rPr>
              <w:t xml:space="preserve"> </w:t>
            </w:r>
            <w:r w:rsidR="005178F6" w:rsidRPr="00EE1C60">
              <w:rPr>
                <w:rFonts w:cs="Times New Roman"/>
                <w:b/>
                <w:bCs/>
                <w:sz w:val="22"/>
              </w:rPr>
              <w:t>MS</w:t>
            </w:r>
          </w:p>
        </w:tc>
      </w:tr>
      <w:tr w:rsidR="00672E69" w:rsidRPr="00EE1C60" w14:paraId="45007B99" w14:textId="77777777" w:rsidTr="005178F6">
        <w:trPr>
          <w:trHeight w:val="1098"/>
        </w:trPr>
        <w:tc>
          <w:tcPr>
            <w:tcW w:w="830" w:type="dxa"/>
          </w:tcPr>
          <w:p w14:paraId="0EE517E5" w14:textId="18C9C9B9" w:rsidR="00672E69" w:rsidRPr="009A0263" w:rsidRDefault="00672E69" w:rsidP="009A0263">
            <w:pPr>
              <w:pStyle w:val="Akapitzlist"/>
              <w:numPr>
                <w:ilvl w:val="0"/>
                <w:numId w:val="4"/>
              </w:numPr>
              <w:tabs>
                <w:tab w:val="left" w:pos="360"/>
              </w:tabs>
              <w:jc w:val="center"/>
              <w:rPr>
                <w:rFonts w:cs="Times New Roman"/>
                <w:sz w:val="22"/>
              </w:rPr>
            </w:pPr>
          </w:p>
        </w:tc>
        <w:tc>
          <w:tcPr>
            <w:tcW w:w="1682" w:type="dxa"/>
          </w:tcPr>
          <w:p w14:paraId="05D263CB" w14:textId="5B145A45" w:rsidR="001721F2" w:rsidRPr="00EE1C60" w:rsidRDefault="00EC1FF8" w:rsidP="00EE1C60">
            <w:pPr>
              <w:jc w:val="center"/>
              <w:rPr>
                <w:rFonts w:cs="Times New Roman"/>
                <w:sz w:val="22"/>
              </w:rPr>
            </w:pPr>
            <w:r w:rsidRPr="00EE1C60">
              <w:rPr>
                <w:rFonts w:cs="Times New Roman"/>
                <w:sz w:val="22"/>
              </w:rPr>
              <w:t xml:space="preserve">§ 2 pkt 4 </w:t>
            </w:r>
          </w:p>
        </w:tc>
        <w:tc>
          <w:tcPr>
            <w:tcW w:w="1736" w:type="dxa"/>
          </w:tcPr>
          <w:p w14:paraId="734B0DAD" w14:textId="08063A8F" w:rsidR="001721F2" w:rsidRPr="00EE1C60" w:rsidRDefault="00EC1FF8" w:rsidP="00EE1C60">
            <w:pPr>
              <w:rPr>
                <w:rFonts w:cs="Times New Roman"/>
                <w:sz w:val="22"/>
              </w:rPr>
            </w:pPr>
            <w:r w:rsidRPr="00EE1C60">
              <w:rPr>
                <w:rFonts w:cs="Times New Roman"/>
                <w:sz w:val="22"/>
              </w:rPr>
              <w:t>Prokuratoria Generalna RP</w:t>
            </w:r>
          </w:p>
        </w:tc>
        <w:tc>
          <w:tcPr>
            <w:tcW w:w="5437" w:type="dxa"/>
          </w:tcPr>
          <w:p w14:paraId="62F2C0C8" w14:textId="740AC4D2"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„użytkownik konta”,</w:t>
            </w:r>
            <w:r w:rsidRPr="00EE1C60">
              <w:rPr>
                <w:rFonts w:cs="Times New Roman"/>
                <w:sz w:val="22"/>
              </w:rPr>
              <w:t xml:space="preserve"> </w:t>
            </w:r>
            <w:r w:rsidR="00EC1FF8" w:rsidRPr="00EE1C60">
              <w:rPr>
                <w:rFonts w:cs="Times New Roman"/>
                <w:sz w:val="22"/>
              </w:rPr>
              <w:t>ponieważ przepisy Kodeksu postępowania karnego wskazują, że podmiotem</w:t>
            </w:r>
            <w:r w:rsidRPr="00EE1C60">
              <w:rPr>
                <w:rFonts w:cs="Times New Roman"/>
                <w:sz w:val="22"/>
              </w:rPr>
              <w:t xml:space="preserve"> </w:t>
            </w:r>
            <w:r w:rsidR="00EC1FF8" w:rsidRPr="00EE1C60">
              <w:rPr>
                <w:rFonts w:cs="Times New Roman"/>
                <w:sz w:val="22"/>
              </w:rPr>
              <w:t>wykonującym czynności procesowe, w tym składającym pisma przez umieszczenie ich</w:t>
            </w:r>
            <w:r w:rsidRPr="00EE1C60">
              <w:rPr>
                <w:rFonts w:cs="Times New Roman"/>
                <w:sz w:val="22"/>
              </w:rPr>
              <w:t xml:space="preserve"> </w:t>
            </w:r>
            <w:r w:rsidR="00EC1FF8" w:rsidRPr="00EE1C60">
              <w:rPr>
                <w:rFonts w:cs="Times New Roman"/>
                <w:sz w:val="22"/>
              </w:rPr>
              <w:t xml:space="preserve">treści w portalu informacyjnym, jest PGRP (art. 88 § 2, art. 422 § 1b, art. 428 § 3 </w:t>
            </w:r>
            <w:r w:rsidR="0033450F" w:rsidRPr="00EE1C60">
              <w:rPr>
                <w:rFonts w:cs="Times New Roman"/>
                <w:sz w:val="22"/>
              </w:rPr>
              <w:t>k.p.k.</w:t>
            </w:r>
            <w:r w:rsidR="00EC1FF8" w:rsidRPr="00EE1C60">
              <w:rPr>
                <w:rFonts w:cs="Times New Roman"/>
                <w:sz w:val="22"/>
              </w:rPr>
              <w:t>). Nie</w:t>
            </w:r>
            <w:r w:rsidRPr="00EE1C60">
              <w:rPr>
                <w:rFonts w:cs="Times New Roman"/>
                <w:sz w:val="22"/>
              </w:rPr>
              <w:t xml:space="preserve"> </w:t>
            </w:r>
            <w:r w:rsidR="00EC1FF8" w:rsidRPr="00EE1C60">
              <w:rPr>
                <w:rFonts w:cs="Times New Roman"/>
                <w:sz w:val="22"/>
              </w:rPr>
              <w:t>jest możliwe przyjęcie na poziomie aktu wykonawczego, że podmiotem tym jest radca</w:t>
            </w:r>
            <w:r w:rsidRPr="00EE1C60">
              <w:rPr>
                <w:rFonts w:cs="Times New Roman"/>
                <w:sz w:val="22"/>
              </w:rPr>
              <w:t xml:space="preserve"> </w:t>
            </w:r>
            <w:r w:rsidR="00EC1FF8" w:rsidRPr="00EE1C60">
              <w:rPr>
                <w:rFonts w:cs="Times New Roman"/>
                <w:sz w:val="22"/>
              </w:rPr>
              <w:t>PGRP, a taki byłby skutek treści § 2 pkt 4, 6 i 12 oraz § 3 ust. 1 projektu. Analiza projektu</w:t>
            </w:r>
            <w:r w:rsidRPr="00EE1C60">
              <w:rPr>
                <w:rFonts w:cs="Times New Roman"/>
                <w:sz w:val="22"/>
              </w:rPr>
              <w:t xml:space="preserve"> </w:t>
            </w:r>
            <w:r w:rsidR="00EC1FF8" w:rsidRPr="00EE1C60">
              <w:rPr>
                <w:rFonts w:cs="Times New Roman"/>
                <w:sz w:val="22"/>
              </w:rPr>
              <w:t>wskazuje, że ta definicja jest zbędna dla regulowanej materii. W konsekwencji rezygnacji</w:t>
            </w:r>
            <w:r w:rsidRPr="00EE1C60">
              <w:rPr>
                <w:rFonts w:cs="Times New Roman"/>
                <w:sz w:val="22"/>
              </w:rPr>
              <w:t xml:space="preserve"> </w:t>
            </w:r>
            <w:r w:rsidR="00EC1FF8" w:rsidRPr="00EE1C60">
              <w:rPr>
                <w:rFonts w:cs="Times New Roman"/>
                <w:sz w:val="22"/>
              </w:rPr>
              <w:t>z tej definicji proponujemy:</w:t>
            </w:r>
          </w:p>
          <w:p w14:paraId="20B0AE2B" w14:textId="41393C68" w:rsidR="00EC1FF8" w:rsidRPr="00EE1C60" w:rsidRDefault="00EC1FF8" w:rsidP="00EE1C60">
            <w:pPr>
              <w:autoSpaceDE w:val="0"/>
              <w:autoSpaceDN w:val="0"/>
              <w:adjustRightInd w:val="0"/>
              <w:jc w:val="both"/>
              <w:rPr>
                <w:rFonts w:cs="Times New Roman"/>
                <w:sz w:val="22"/>
              </w:rPr>
            </w:pPr>
            <w:r w:rsidRPr="00EE1C60">
              <w:rPr>
                <w:rFonts w:cs="Times New Roman"/>
                <w:sz w:val="22"/>
              </w:rPr>
              <w:t>a) skreślenie wyrazów „przez użytkownika konta” w definicji pojęcia „wniesienie pisma”</w:t>
            </w:r>
            <w:r w:rsidR="00D96EF1" w:rsidRPr="00EE1C60">
              <w:rPr>
                <w:rFonts w:cs="Times New Roman"/>
                <w:sz w:val="22"/>
              </w:rPr>
              <w:t xml:space="preserve"> </w:t>
            </w:r>
            <w:r w:rsidRPr="00EE1C60">
              <w:rPr>
                <w:rFonts w:cs="Times New Roman"/>
                <w:sz w:val="22"/>
              </w:rPr>
              <w:t>(§ 2 pkt 6 projektu) – wyrazy te są zbędne także niezależnie od uwagi nr 1, ponieważ</w:t>
            </w:r>
            <w:r w:rsidR="00D96EF1" w:rsidRPr="00EE1C60">
              <w:rPr>
                <w:rFonts w:cs="Times New Roman"/>
                <w:sz w:val="22"/>
              </w:rPr>
              <w:t xml:space="preserve"> </w:t>
            </w:r>
            <w:r w:rsidRPr="00EE1C60">
              <w:rPr>
                <w:rFonts w:cs="Times New Roman"/>
                <w:sz w:val="22"/>
              </w:rPr>
              <w:t>przepisy aktu wykonawczego nie powinny ingerować w organizację procesu wysyłki</w:t>
            </w:r>
            <w:r w:rsidR="00D96EF1" w:rsidRPr="00EE1C60">
              <w:rPr>
                <w:rFonts w:cs="Times New Roman"/>
                <w:sz w:val="22"/>
              </w:rPr>
              <w:t xml:space="preserve"> </w:t>
            </w:r>
            <w:r w:rsidRPr="00EE1C60">
              <w:rPr>
                <w:rFonts w:cs="Times New Roman"/>
                <w:sz w:val="22"/>
              </w:rPr>
              <w:t>pism przez poszczególne podmioty,</w:t>
            </w:r>
          </w:p>
          <w:p w14:paraId="3701F0A0" w14:textId="021B457F" w:rsidR="00EC1FF8" w:rsidRPr="00EE1C60" w:rsidRDefault="00EC1FF8" w:rsidP="00EE1C60">
            <w:pPr>
              <w:autoSpaceDE w:val="0"/>
              <w:autoSpaceDN w:val="0"/>
              <w:adjustRightInd w:val="0"/>
              <w:jc w:val="both"/>
              <w:rPr>
                <w:rFonts w:cs="Times New Roman"/>
                <w:sz w:val="22"/>
              </w:rPr>
            </w:pPr>
            <w:r w:rsidRPr="00EE1C60">
              <w:rPr>
                <w:rFonts w:cs="Times New Roman"/>
                <w:sz w:val="22"/>
              </w:rPr>
              <w:t>b) skreślenie wyrazów „przez użytkownika konta” w</w:t>
            </w:r>
            <w:r w:rsidR="003B1C38" w:rsidRPr="00EE1C60">
              <w:rPr>
                <w:rFonts w:cs="Times New Roman"/>
                <w:sz w:val="22"/>
              </w:rPr>
              <w:t>e</w:t>
            </w:r>
            <w:r w:rsidRPr="00EE1C60">
              <w:rPr>
                <w:rFonts w:cs="Times New Roman"/>
                <w:sz w:val="22"/>
              </w:rPr>
              <w:t xml:space="preserve"> wprowadzeniu do wyliczenia</w:t>
            </w:r>
            <w:r w:rsidR="00D96EF1" w:rsidRPr="00EE1C60">
              <w:rPr>
                <w:rFonts w:cs="Times New Roman"/>
                <w:sz w:val="22"/>
              </w:rPr>
              <w:t xml:space="preserve"> </w:t>
            </w:r>
            <w:r w:rsidRPr="00EE1C60">
              <w:rPr>
                <w:rFonts w:cs="Times New Roman"/>
                <w:sz w:val="22"/>
              </w:rPr>
              <w:t>w § 3 [ust. 1] projektu – wyrazy te są zbędne także niezależnie od uwagi nr 1,</w:t>
            </w:r>
          </w:p>
          <w:p w14:paraId="2158A920" w14:textId="3B397A73" w:rsidR="001721F2" w:rsidRPr="00EE1C60" w:rsidRDefault="00EC1FF8" w:rsidP="00EE1C60">
            <w:pPr>
              <w:autoSpaceDE w:val="0"/>
              <w:autoSpaceDN w:val="0"/>
              <w:adjustRightInd w:val="0"/>
              <w:jc w:val="both"/>
              <w:rPr>
                <w:rFonts w:cs="Times New Roman"/>
                <w:sz w:val="22"/>
              </w:rPr>
            </w:pPr>
            <w:r w:rsidRPr="00EE1C60">
              <w:rPr>
                <w:rFonts w:cs="Times New Roman"/>
                <w:sz w:val="22"/>
              </w:rPr>
              <w:t>ponieważ nie ma potrzeby doprecyzowywania na poziomie rozporządzenia, kto ma</w:t>
            </w:r>
            <w:r w:rsidR="00D96EF1" w:rsidRPr="00EE1C60">
              <w:rPr>
                <w:rFonts w:cs="Times New Roman"/>
                <w:sz w:val="22"/>
              </w:rPr>
              <w:t xml:space="preserve"> </w:t>
            </w:r>
            <w:r w:rsidRPr="00EE1C60">
              <w:rPr>
                <w:rFonts w:cs="Times New Roman"/>
                <w:sz w:val="22"/>
              </w:rPr>
              <w:t>obowiązek wnoszenia pism za pośrednictwem portalu, dlatego że wynika to wprost</w:t>
            </w:r>
            <w:r w:rsidR="00D96EF1" w:rsidRPr="00EE1C60">
              <w:rPr>
                <w:rFonts w:cs="Times New Roman"/>
                <w:sz w:val="22"/>
              </w:rPr>
              <w:t xml:space="preserve"> </w:t>
            </w:r>
            <w:r w:rsidRPr="00EE1C60">
              <w:rPr>
                <w:rFonts w:cs="Times New Roman"/>
                <w:sz w:val="22"/>
              </w:rPr>
              <w:t>z ustawy</w:t>
            </w:r>
            <w:r w:rsidR="00D96EF1" w:rsidRPr="00EE1C60">
              <w:rPr>
                <w:rFonts w:cs="Times New Roman"/>
                <w:sz w:val="22"/>
              </w:rPr>
              <w:t>.</w:t>
            </w:r>
          </w:p>
        </w:tc>
        <w:tc>
          <w:tcPr>
            <w:tcW w:w="4624" w:type="dxa"/>
          </w:tcPr>
          <w:p w14:paraId="4F4D527A" w14:textId="63794EFC" w:rsidR="001721F2" w:rsidRPr="00EE1C60" w:rsidRDefault="004D764D"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częściowo uwzględniona. </w:t>
            </w:r>
          </w:p>
          <w:p w14:paraId="56E779DB" w14:textId="77777777" w:rsidR="00F273CC" w:rsidRPr="00EE1C60" w:rsidRDefault="00F273C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Definicja ustalająca znaczenie określenia „użytkownik konta” została sformułowana w projekcie rozporządzenia Ministra Sprawiedliwości w sprawie portalu informacyjnego (B937), w którym wskazano, że przez to określenie rozumie się osobę fizyczną, dla której założono konto w portalu informacyjnym. </w:t>
            </w:r>
          </w:p>
          <w:p w14:paraId="3BDC4B9A" w14:textId="77777777" w:rsidR="00F273CC" w:rsidRPr="00EE1C60" w:rsidRDefault="00F273C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Mając powyższe na uwadze, w związku z koniecznością zachowania spójności terminologicznej, zmieniono zamieszczoną w projekcie (A544) definicję określenia „użytkownik konta” przez odesłanie do właściwego przepisu rozporządzenia Ministra Sprawiedliwości w sprawie portalu informacyjnego (obecnie projekt B937). Definicja ta nie zawiera już wskazania radcy Prokuratorii Generalnej RP jako użytkownika konta.</w:t>
            </w:r>
          </w:p>
          <w:p w14:paraId="615CED17" w14:textId="41D8F92F" w:rsidR="004D764D" w:rsidRPr="00EE1C60" w:rsidRDefault="00F2535E"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Ponadto, w wyniku skorelowania prac nad przedmiotowym projektem z pracami nad projektem rozporządzenia Ministra Sprawiedliwości w sprawie określenia trybu i sposobu wnoszenia pism procesowych w postaci elektronicznej za pośrednictwem portalu informacyjnego w postępowaniu cywilnym (A545) dokonano korekty przepisów, w tym w zakresie wskazanym w pkt a i b zgłaszanej uwagi</w:t>
            </w:r>
            <w:r w:rsidR="009D4AC3" w:rsidRPr="00EE1C60">
              <w:rPr>
                <w:rStyle w:val="cf01"/>
                <w:rFonts w:ascii="Times New Roman" w:hAnsi="Times New Roman" w:cs="Times New Roman"/>
                <w:sz w:val="22"/>
                <w:szCs w:val="22"/>
              </w:rPr>
              <w:t xml:space="preserve"> m.in. przez skreślenie </w:t>
            </w:r>
            <w:r w:rsidRPr="00EE1C60">
              <w:rPr>
                <w:rStyle w:val="cf01"/>
                <w:rFonts w:ascii="Times New Roman" w:hAnsi="Times New Roman" w:cs="Times New Roman"/>
                <w:sz w:val="22"/>
                <w:szCs w:val="22"/>
              </w:rPr>
              <w:t>„przez użytkownika konta”</w:t>
            </w:r>
            <w:r w:rsidR="009D4AC3" w:rsidRPr="00EE1C60">
              <w:rPr>
                <w:rStyle w:val="cf01"/>
                <w:rFonts w:ascii="Times New Roman" w:hAnsi="Times New Roman" w:cs="Times New Roman"/>
                <w:sz w:val="22"/>
                <w:szCs w:val="22"/>
              </w:rPr>
              <w:t>.</w:t>
            </w:r>
          </w:p>
        </w:tc>
      </w:tr>
      <w:tr w:rsidR="00EC1FF8" w:rsidRPr="00EE1C60" w14:paraId="04561E72" w14:textId="77777777" w:rsidTr="005178F6">
        <w:trPr>
          <w:trHeight w:val="1098"/>
        </w:trPr>
        <w:tc>
          <w:tcPr>
            <w:tcW w:w="830" w:type="dxa"/>
          </w:tcPr>
          <w:p w14:paraId="1788E6A2" w14:textId="4EE55683" w:rsidR="00EC1FF8" w:rsidRPr="009A0263" w:rsidRDefault="00EC1FF8" w:rsidP="009A0263">
            <w:pPr>
              <w:pStyle w:val="Akapitzlist"/>
              <w:numPr>
                <w:ilvl w:val="0"/>
                <w:numId w:val="4"/>
              </w:numPr>
              <w:tabs>
                <w:tab w:val="left" w:pos="360"/>
              </w:tabs>
              <w:rPr>
                <w:rFonts w:cs="Times New Roman"/>
                <w:sz w:val="22"/>
              </w:rPr>
            </w:pPr>
          </w:p>
        </w:tc>
        <w:tc>
          <w:tcPr>
            <w:tcW w:w="1682" w:type="dxa"/>
          </w:tcPr>
          <w:p w14:paraId="7A048999" w14:textId="36D801ED" w:rsidR="00EC1FF8" w:rsidRPr="00EE1C60" w:rsidRDefault="00EC1FF8" w:rsidP="00EE1C60">
            <w:pPr>
              <w:jc w:val="center"/>
              <w:rPr>
                <w:rFonts w:cs="Times New Roman"/>
                <w:sz w:val="22"/>
              </w:rPr>
            </w:pPr>
            <w:r w:rsidRPr="00EE1C60">
              <w:rPr>
                <w:rFonts w:cs="Times New Roman"/>
                <w:sz w:val="22"/>
              </w:rPr>
              <w:t xml:space="preserve">§ 2 pkt 5 </w:t>
            </w:r>
          </w:p>
        </w:tc>
        <w:tc>
          <w:tcPr>
            <w:tcW w:w="1736" w:type="dxa"/>
          </w:tcPr>
          <w:p w14:paraId="1B1FADFE" w14:textId="449F4CCB" w:rsidR="00EC1FF8" w:rsidRPr="00EE1C60" w:rsidRDefault="00EC1FF8" w:rsidP="00EE1C60">
            <w:pPr>
              <w:rPr>
                <w:rFonts w:cs="Times New Roman"/>
                <w:sz w:val="22"/>
              </w:rPr>
            </w:pPr>
            <w:r w:rsidRPr="00EE1C60">
              <w:rPr>
                <w:rFonts w:cs="Times New Roman"/>
                <w:sz w:val="22"/>
              </w:rPr>
              <w:t>Prokuratoria Generalna RP</w:t>
            </w:r>
          </w:p>
        </w:tc>
        <w:tc>
          <w:tcPr>
            <w:tcW w:w="5437" w:type="dxa"/>
          </w:tcPr>
          <w:p w14:paraId="2962A30B" w14:textId="0763201C"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„wnoszący pismo”,</w:t>
            </w:r>
            <w:r w:rsidRPr="00EE1C60">
              <w:rPr>
                <w:rFonts w:cs="Times New Roman"/>
                <w:sz w:val="22"/>
              </w:rPr>
              <w:t xml:space="preserve"> </w:t>
            </w:r>
            <w:r w:rsidR="00EC1FF8" w:rsidRPr="00EE1C60">
              <w:rPr>
                <w:rFonts w:cs="Times New Roman"/>
                <w:sz w:val="22"/>
              </w:rPr>
              <w:t xml:space="preserve">ponieważ jest to określenie ustawowe (art. 116a § 1 </w:t>
            </w:r>
            <w:r w:rsidR="0033450F" w:rsidRPr="00EE1C60">
              <w:rPr>
                <w:rFonts w:cs="Times New Roman"/>
                <w:sz w:val="22"/>
              </w:rPr>
              <w:t>k.p.k.</w:t>
            </w:r>
            <w:r w:rsidR="00EC1FF8" w:rsidRPr="00EE1C60">
              <w:rPr>
                <w:rFonts w:cs="Times New Roman"/>
                <w:sz w:val="22"/>
              </w:rPr>
              <w:t>) i sama ustawa przesądza o tym,</w:t>
            </w:r>
            <w:r w:rsidRPr="00EE1C60">
              <w:rPr>
                <w:rFonts w:cs="Times New Roman"/>
                <w:sz w:val="22"/>
              </w:rPr>
              <w:t xml:space="preserve"> </w:t>
            </w:r>
            <w:r w:rsidR="00EC1FF8" w:rsidRPr="00EE1C60">
              <w:rPr>
                <w:rFonts w:cs="Times New Roman"/>
                <w:sz w:val="22"/>
              </w:rPr>
              <w:t>jakie podmioty składają pisma przez umieszczenie ich treści w portalu informacyjnym</w:t>
            </w:r>
            <w:r w:rsidRPr="00EE1C60">
              <w:rPr>
                <w:rFonts w:cs="Times New Roman"/>
                <w:sz w:val="22"/>
              </w:rPr>
              <w:t xml:space="preserve"> </w:t>
            </w:r>
            <w:r w:rsidR="00EC1FF8" w:rsidRPr="00EE1C60">
              <w:rPr>
                <w:rFonts w:cs="Times New Roman"/>
                <w:sz w:val="22"/>
              </w:rPr>
              <w:t xml:space="preserve">(art. 88 § 2, art. 422 § 1b, art. 428 § 3 </w:t>
            </w:r>
            <w:r w:rsidR="0033450F" w:rsidRPr="00EE1C60">
              <w:rPr>
                <w:rFonts w:cs="Times New Roman"/>
                <w:sz w:val="22"/>
              </w:rPr>
              <w:t>k.p.k.</w:t>
            </w:r>
            <w:r w:rsidR="00EC1FF8" w:rsidRPr="00EE1C60">
              <w:rPr>
                <w:rFonts w:cs="Times New Roman"/>
                <w:sz w:val="22"/>
              </w:rPr>
              <w:t xml:space="preserve">), zaś upoważnienie zawarte w art. 119 § 4 </w:t>
            </w:r>
            <w:r w:rsidR="0033450F" w:rsidRPr="00EE1C60">
              <w:rPr>
                <w:rFonts w:cs="Times New Roman"/>
                <w:sz w:val="22"/>
              </w:rPr>
              <w:t>k.p.k.</w:t>
            </w:r>
            <w:r w:rsidR="00896474" w:rsidRPr="00EE1C60">
              <w:rPr>
                <w:rFonts w:cs="Times New Roman"/>
                <w:sz w:val="22"/>
              </w:rPr>
              <w:t xml:space="preserve"> </w:t>
            </w:r>
            <w:r w:rsidR="00EC1FF8" w:rsidRPr="00EE1C60">
              <w:rPr>
                <w:rFonts w:cs="Times New Roman"/>
                <w:sz w:val="22"/>
              </w:rPr>
              <w:t>nie przewiduje formułowania definicji tego pojęcia w akcie wykonawczym (§ 149 Zasad</w:t>
            </w:r>
            <w:r w:rsidRPr="00EE1C60">
              <w:rPr>
                <w:rFonts w:cs="Times New Roman"/>
                <w:sz w:val="22"/>
              </w:rPr>
              <w:t xml:space="preserve"> </w:t>
            </w:r>
            <w:r w:rsidR="00EC1FF8" w:rsidRPr="00EE1C60">
              <w:rPr>
                <w:rFonts w:cs="Times New Roman"/>
                <w:sz w:val="22"/>
              </w:rPr>
              <w:t>techniki prawodawczej)</w:t>
            </w:r>
          </w:p>
        </w:tc>
        <w:tc>
          <w:tcPr>
            <w:tcW w:w="4624" w:type="dxa"/>
          </w:tcPr>
          <w:p w14:paraId="4BC38520" w14:textId="77777777" w:rsidR="009D4AC3" w:rsidRPr="00EE1C60" w:rsidRDefault="009D4AC3"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niezasadna. </w:t>
            </w:r>
          </w:p>
          <w:p w14:paraId="768F3213" w14:textId="77777777" w:rsidR="00EC1FF8" w:rsidRPr="00EE1C60" w:rsidRDefault="009D4AC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Upoważnienie ustawowe z reguły nie przewiduje upoważnienia formułowania definicji na potrzeby aktów wykonawczych. Taka praktyka legislacyjna jest niespotykana. Kodeks postępowania karnego przesądza jedynie kto jest upoważniony do wniesienia pisma za pośrednictwem portalu informacyjnego. Nie definiuje bezpośrednio „wnoszącego pismo”. Wprowadzona definicja nie jest sprzeczna z regulacją ustawową.</w:t>
            </w:r>
          </w:p>
          <w:p w14:paraId="4815B88F" w14:textId="6B11653A" w:rsidR="005074F6" w:rsidRPr="00EE1C60" w:rsidRDefault="005074F6" w:rsidP="00EE1C60">
            <w:pPr>
              <w:jc w:val="both"/>
              <w:rPr>
                <w:rStyle w:val="cf01"/>
                <w:rFonts w:ascii="Times New Roman" w:hAnsi="Times New Roman" w:cs="Times New Roman"/>
                <w:sz w:val="22"/>
                <w:szCs w:val="22"/>
              </w:rPr>
            </w:pPr>
            <w:r w:rsidRPr="00EE1C60">
              <w:rPr>
                <w:rFonts w:cs="Times New Roman"/>
                <w:sz w:val="22"/>
              </w:rPr>
              <w:t>Ponadto należy wskazać, że zgodnie orzecznictwem, jeżeli  w wydanym na podstawie delegacji rozporządze</w:t>
            </w:r>
            <w:r w:rsidRPr="00EE1C60">
              <w:rPr>
                <w:rFonts w:cs="Times New Roman"/>
                <w:sz w:val="22"/>
              </w:rPr>
              <w:softHyphen/>
              <w:t>niu zawarto definicję wyłącznie na potrzeby tego rozporządzenia, to gra</w:t>
            </w:r>
            <w:r w:rsidRPr="00EE1C60">
              <w:rPr>
                <w:rFonts w:cs="Times New Roman"/>
                <w:sz w:val="22"/>
              </w:rPr>
              <w:softHyphen/>
              <w:t>nice upoważnienia ustawowego nie zostały przekroczone.</w:t>
            </w:r>
          </w:p>
        </w:tc>
      </w:tr>
      <w:tr w:rsidR="00EC1FF8" w:rsidRPr="00EE1C60" w14:paraId="79489316" w14:textId="77777777" w:rsidTr="005178F6">
        <w:trPr>
          <w:trHeight w:val="1098"/>
        </w:trPr>
        <w:tc>
          <w:tcPr>
            <w:tcW w:w="830" w:type="dxa"/>
          </w:tcPr>
          <w:p w14:paraId="72510EBC" w14:textId="0AC70975" w:rsidR="00EC1FF8" w:rsidRPr="009A0263" w:rsidRDefault="00EC1FF8" w:rsidP="009A0263">
            <w:pPr>
              <w:pStyle w:val="Akapitzlist"/>
              <w:numPr>
                <w:ilvl w:val="0"/>
                <w:numId w:val="4"/>
              </w:numPr>
              <w:tabs>
                <w:tab w:val="left" w:pos="360"/>
              </w:tabs>
              <w:rPr>
                <w:rFonts w:cs="Times New Roman"/>
                <w:sz w:val="22"/>
              </w:rPr>
            </w:pPr>
          </w:p>
        </w:tc>
        <w:tc>
          <w:tcPr>
            <w:tcW w:w="1682" w:type="dxa"/>
          </w:tcPr>
          <w:p w14:paraId="2AAF4247" w14:textId="25A88B00" w:rsidR="00EC1FF8" w:rsidRPr="00EE1C60" w:rsidRDefault="00EC1FF8" w:rsidP="00EE1C60">
            <w:pPr>
              <w:jc w:val="center"/>
              <w:rPr>
                <w:rFonts w:cs="Times New Roman"/>
                <w:sz w:val="22"/>
              </w:rPr>
            </w:pPr>
            <w:r w:rsidRPr="00EE1C60">
              <w:rPr>
                <w:rFonts w:cs="Times New Roman"/>
                <w:sz w:val="22"/>
              </w:rPr>
              <w:t xml:space="preserve">§ 2 pkt 12 </w:t>
            </w:r>
          </w:p>
        </w:tc>
        <w:tc>
          <w:tcPr>
            <w:tcW w:w="1736" w:type="dxa"/>
          </w:tcPr>
          <w:p w14:paraId="208E5A90" w14:textId="771F6432" w:rsidR="00EC1FF8" w:rsidRPr="00EE1C60" w:rsidRDefault="00EC1FF8" w:rsidP="00EE1C60">
            <w:pPr>
              <w:rPr>
                <w:rFonts w:cs="Times New Roman"/>
                <w:sz w:val="22"/>
              </w:rPr>
            </w:pPr>
            <w:r w:rsidRPr="00EE1C60">
              <w:rPr>
                <w:rFonts w:cs="Times New Roman"/>
                <w:sz w:val="22"/>
              </w:rPr>
              <w:t>Prokuratoria Generalna RP</w:t>
            </w:r>
          </w:p>
        </w:tc>
        <w:tc>
          <w:tcPr>
            <w:tcW w:w="5437" w:type="dxa"/>
          </w:tcPr>
          <w:p w14:paraId="1943D442" w14:textId="5BA15E16"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„wysyłający pismo”,</w:t>
            </w:r>
            <w:r w:rsidRPr="00EE1C60">
              <w:rPr>
                <w:rFonts w:cs="Times New Roman"/>
                <w:sz w:val="22"/>
              </w:rPr>
              <w:t xml:space="preserve"> </w:t>
            </w:r>
            <w:r w:rsidR="00EC1FF8" w:rsidRPr="00EE1C60">
              <w:rPr>
                <w:rFonts w:cs="Times New Roman"/>
                <w:sz w:val="22"/>
              </w:rPr>
              <w:t>ponieważ sama czynność wniesienia pisma jest opisana w odrębnej definicji (§ 2 pkt 6</w:t>
            </w:r>
            <w:r w:rsidRPr="00EE1C60">
              <w:rPr>
                <w:rFonts w:cs="Times New Roman"/>
                <w:sz w:val="22"/>
              </w:rPr>
              <w:t xml:space="preserve"> </w:t>
            </w:r>
            <w:r w:rsidR="00EC1FF8" w:rsidRPr="00EE1C60">
              <w:rPr>
                <w:rFonts w:cs="Times New Roman"/>
                <w:sz w:val="22"/>
              </w:rPr>
              <w:t>projektu), zaś pojęcie „wysyłający pismo” występuje jedynie w innej definicji (§ 2 pkt 8</w:t>
            </w:r>
            <w:r w:rsidRPr="00EE1C60">
              <w:rPr>
                <w:rFonts w:cs="Times New Roman"/>
                <w:sz w:val="22"/>
              </w:rPr>
              <w:t xml:space="preserve"> </w:t>
            </w:r>
            <w:r w:rsidR="00EC1FF8" w:rsidRPr="00EE1C60">
              <w:rPr>
                <w:rFonts w:cs="Times New Roman"/>
                <w:sz w:val="22"/>
              </w:rPr>
              <w:t>projektu), gdzie jest możliwe jego zastąpienie innym określeniem (np. osoba, która</w:t>
            </w:r>
          </w:p>
          <w:p w14:paraId="0AF483D0" w14:textId="77777777" w:rsidR="00D96EF1" w:rsidRPr="00EE1C60" w:rsidRDefault="00EC1FF8" w:rsidP="00EE1C60">
            <w:pPr>
              <w:autoSpaceDE w:val="0"/>
              <w:autoSpaceDN w:val="0"/>
              <w:adjustRightInd w:val="0"/>
              <w:jc w:val="both"/>
              <w:rPr>
                <w:rFonts w:cs="Times New Roman"/>
                <w:sz w:val="22"/>
              </w:rPr>
            </w:pPr>
            <w:r w:rsidRPr="00EE1C60">
              <w:rPr>
                <w:rFonts w:cs="Times New Roman"/>
                <w:sz w:val="22"/>
              </w:rPr>
              <w:t xml:space="preserve">wywołała funkcję, o której mowa w pkt 6). </w:t>
            </w:r>
          </w:p>
          <w:p w14:paraId="103505B5" w14:textId="0007E6D0" w:rsidR="00EC1FF8" w:rsidRPr="00EE1C60" w:rsidRDefault="00EC1FF8" w:rsidP="00EE1C60">
            <w:pPr>
              <w:autoSpaceDE w:val="0"/>
              <w:autoSpaceDN w:val="0"/>
              <w:adjustRightInd w:val="0"/>
              <w:jc w:val="both"/>
              <w:rPr>
                <w:rFonts w:cs="Times New Roman"/>
                <w:sz w:val="22"/>
              </w:rPr>
            </w:pPr>
            <w:r w:rsidRPr="00EE1C60">
              <w:rPr>
                <w:rFonts w:cs="Times New Roman"/>
                <w:sz w:val="22"/>
              </w:rPr>
              <w:t>W przypadku pozostawienia w projekcie</w:t>
            </w:r>
            <w:r w:rsidR="00D96EF1" w:rsidRPr="00EE1C60">
              <w:rPr>
                <w:rFonts w:cs="Times New Roman"/>
                <w:sz w:val="22"/>
              </w:rPr>
              <w:t xml:space="preserve"> </w:t>
            </w:r>
            <w:r w:rsidRPr="00EE1C60">
              <w:rPr>
                <w:rFonts w:cs="Times New Roman"/>
                <w:sz w:val="22"/>
              </w:rPr>
              <w:t>definicji pojęcia „wysyłający pismo” wyraz „użytkownika” należy zastąpić wyrazem</w:t>
            </w:r>
            <w:r w:rsidR="00D96EF1" w:rsidRPr="00EE1C60">
              <w:rPr>
                <w:rFonts w:cs="Times New Roman"/>
                <w:sz w:val="22"/>
              </w:rPr>
              <w:t xml:space="preserve"> </w:t>
            </w:r>
            <w:r w:rsidRPr="00EE1C60">
              <w:rPr>
                <w:rFonts w:cs="Times New Roman"/>
                <w:sz w:val="22"/>
              </w:rPr>
              <w:t>„osobę” (w związku z ww. uwagą do § 2 pkt 4 projektu);</w:t>
            </w:r>
          </w:p>
        </w:tc>
        <w:tc>
          <w:tcPr>
            <w:tcW w:w="4624" w:type="dxa"/>
          </w:tcPr>
          <w:p w14:paraId="3F29121C" w14:textId="77777777" w:rsidR="005074F6" w:rsidRPr="00EE1C60" w:rsidRDefault="005074F6"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niezasadna. </w:t>
            </w:r>
          </w:p>
          <w:p w14:paraId="5D28977E" w14:textId="0700A791" w:rsidR="00EC1FF8" w:rsidRPr="00EE1C60" w:rsidRDefault="005074F6"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Ze względu na zachowanie czytelności projektowanych przepisów zachowano definicję wysyłającego pismo. Projektowany przepis podkreśla również, że wysyłający pismo oraz wnoszący pismo mogą być różnymi osobami.</w:t>
            </w:r>
          </w:p>
        </w:tc>
      </w:tr>
      <w:tr w:rsidR="005D4E03" w:rsidRPr="00EE1C60" w14:paraId="6E13570A" w14:textId="77777777" w:rsidTr="005178F6">
        <w:trPr>
          <w:trHeight w:val="1098"/>
        </w:trPr>
        <w:tc>
          <w:tcPr>
            <w:tcW w:w="830" w:type="dxa"/>
          </w:tcPr>
          <w:p w14:paraId="31425EFB" w14:textId="4B7F5C3D" w:rsidR="005D4E03" w:rsidRPr="009A0263" w:rsidRDefault="005D4E03" w:rsidP="009A0263">
            <w:pPr>
              <w:pStyle w:val="Akapitzlist"/>
              <w:numPr>
                <w:ilvl w:val="0"/>
                <w:numId w:val="4"/>
              </w:numPr>
              <w:tabs>
                <w:tab w:val="left" w:pos="360"/>
              </w:tabs>
              <w:rPr>
                <w:rFonts w:cs="Times New Roman"/>
                <w:sz w:val="22"/>
              </w:rPr>
            </w:pPr>
          </w:p>
        </w:tc>
        <w:tc>
          <w:tcPr>
            <w:tcW w:w="1682" w:type="dxa"/>
          </w:tcPr>
          <w:p w14:paraId="5A4284BF" w14:textId="05DA5EA5" w:rsidR="005D4E03" w:rsidRPr="00EE1C60" w:rsidRDefault="005D4E03" w:rsidP="00EE1C60">
            <w:pPr>
              <w:jc w:val="center"/>
              <w:rPr>
                <w:rFonts w:cs="Times New Roman"/>
                <w:sz w:val="22"/>
              </w:rPr>
            </w:pPr>
            <w:r w:rsidRPr="00EE1C60">
              <w:rPr>
                <w:rFonts w:cs="Times New Roman"/>
                <w:sz w:val="22"/>
              </w:rPr>
              <w:t>§ 3 pkt 6</w:t>
            </w:r>
          </w:p>
        </w:tc>
        <w:tc>
          <w:tcPr>
            <w:tcW w:w="1736" w:type="dxa"/>
          </w:tcPr>
          <w:p w14:paraId="44EB6AC1" w14:textId="61AD33D9" w:rsidR="005D4E03" w:rsidRPr="00EE1C60" w:rsidRDefault="005D4E03" w:rsidP="00EE1C60">
            <w:pPr>
              <w:rPr>
                <w:rFonts w:cs="Times New Roman"/>
                <w:sz w:val="22"/>
              </w:rPr>
            </w:pPr>
            <w:r w:rsidRPr="00EE1C60">
              <w:rPr>
                <w:rFonts w:cs="Times New Roman"/>
                <w:sz w:val="22"/>
              </w:rPr>
              <w:t>Prokuratoria Generalna RP</w:t>
            </w:r>
          </w:p>
        </w:tc>
        <w:tc>
          <w:tcPr>
            <w:tcW w:w="5437" w:type="dxa"/>
          </w:tcPr>
          <w:p w14:paraId="001D62E1" w14:textId="749B54E0" w:rsidR="005D4E03" w:rsidRPr="00EE1C60" w:rsidRDefault="00D96EF1" w:rsidP="00EE1C60">
            <w:pPr>
              <w:autoSpaceDE w:val="0"/>
              <w:autoSpaceDN w:val="0"/>
              <w:adjustRightInd w:val="0"/>
              <w:jc w:val="both"/>
              <w:rPr>
                <w:rFonts w:cs="Times New Roman"/>
                <w:sz w:val="22"/>
              </w:rPr>
            </w:pPr>
            <w:r w:rsidRPr="00EE1C60">
              <w:rPr>
                <w:rFonts w:cs="Times New Roman"/>
                <w:sz w:val="22"/>
              </w:rPr>
              <w:t>P</w:t>
            </w:r>
            <w:r w:rsidR="005D4E03" w:rsidRPr="00EE1C60">
              <w:rPr>
                <w:rFonts w:cs="Times New Roman"/>
                <w:sz w:val="22"/>
              </w:rPr>
              <w:t>roponujemy, aby rozporządzenie dopuszczało podpisanie pisma</w:t>
            </w:r>
            <w:r w:rsidRPr="00EE1C60">
              <w:rPr>
                <w:rFonts w:cs="Times New Roman"/>
                <w:sz w:val="22"/>
              </w:rPr>
              <w:t xml:space="preserve"> </w:t>
            </w:r>
            <w:r w:rsidR="005D4E03" w:rsidRPr="00EE1C60">
              <w:rPr>
                <w:rFonts w:cs="Times New Roman"/>
                <w:sz w:val="22"/>
              </w:rPr>
              <w:t>i załączników także poza portalem informacyjnym, przed umieszczeniem ich treści</w:t>
            </w:r>
          </w:p>
          <w:p w14:paraId="166B4003" w14:textId="1D25896A" w:rsidR="005D4E03" w:rsidRPr="00EE1C60" w:rsidRDefault="005D4E03" w:rsidP="00155802">
            <w:pPr>
              <w:autoSpaceDE w:val="0"/>
              <w:autoSpaceDN w:val="0"/>
              <w:adjustRightInd w:val="0"/>
              <w:jc w:val="both"/>
              <w:rPr>
                <w:rFonts w:cs="Times New Roman"/>
                <w:sz w:val="22"/>
              </w:rPr>
            </w:pPr>
            <w:r w:rsidRPr="00EE1C60">
              <w:rPr>
                <w:rFonts w:cs="Times New Roman"/>
                <w:sz w:val="22"/>
              </w:rPr>
              <w:t>w portalu informacyjnym, za czym mogą przemawiać względy organizacyjne danego</w:t>
            </w:r>
            <w:r w:rsidR="00D96EF1" w:rsidRPr="00EE1C60">
              <w:rPr>
                <w:rFonts w:cs="Times New Roman"/>
                <w:sz w:val="22"/>
              </w:rPr>
              <w:t xml:space="preserve"> </w:t>
            </w:r>
            <w:r w:rsidRPr="00EE1C60">
              <w:rPr>
                <w:rFonts w:cs="Times New Roman"/>
                <w:sz w:val="22"/>
              </w:rPr>
              <w:t xml:space="preserve">podmiotu wnoszącego </w:t>
            </w:r>
            <w:r w:rsidRPr="00EE1C60">
              <w:rPr>
                <w:rFonts w:cs="Times New Roman"/>
                <w:sz w:val="22"/>
              </w:rPr>
              <w:lastRenderedPageBreak/>
              <w:t xml:space="preserve">pismo. Zarówno ustawa (art. 119 § 3 i art. 119a </w:t>
            </w:r>
            <w:r w:rsidR="0033450F" w:rsidRPr="00EE1C60">
              <w:rPr>
                <w:rFonts w:cs="Times New Roman"/>
                <w:sz w:val="22"/>
              </w:rPr>
              <w:t>k.p.k.</w:t>
            </w:r>
            <w:r w:rsidRPr="00EE1C60">
              <w:rPr>
                <w:rFonts w:cs="Times New Roman"/>
                <w:sz w:val="22"/>
              </w:rPr>
              <w:t>), jak</w:t>
            </w:r>
            <w:r w:rsidR="00D96EF1" w:rsidRPr="00EE1C60">
              <w:rPr>
                <w:rFonts w:cs="Times New Roman"/>
                <w:sz w:val="22"/>
              </w:rPr>
              <w:t xml:space="preserve"> </w:t>
            </w:r>
            <w:r w:rsidRPr="00EE1C60">
              <w:rPr>
                <w:rFonts w:cs="Times New Roman"/>
                <w:sz w:val="22"/>
              </w:rPr>
              <w:t>i planowane przez projektodawcę rozwiązania techniczne nie wykluczają takiego</w:t>
            </w:r>
            <w:r w:rsidR="00D96EF1" w:rsidRPr="00EE1C60">
              <w:rPr>
                <w:rFonts w:cs="Times New Roman"/>
                <w:sz w:val="22"/>
              </w:rPr>
              <w:t xml:space="preserve"> </w:t>
            </w:r>
            <w:r w:rsidRPr="00EE1C60">
              <w:rPr>
                <w:rFonts w:cs="Times New Roman"/>
                <w:sz w:val="22"/>
              </w:rPr>
              <w:t>rozwiązania (załącznik nr 1 do rozporządzenia). Przepisy aktu wykonawczego</w:t>
            </w:r>
            <w:r w:rsidR="00D96EF1" w:rsidRPr="00EE1C60">
              <w:rPr>
                <w:rFonts w:cs="Times New Roman"/>
                <w:sz w:val="22"/>
              </w:rPr>
              <w:t xml:space="preserve"> </w:t>
            </w:r>
            <w:r w:rsidRPr="00EE1C60">
              <w:rPr>
                <w:rFonts w:cs="Times New Roman"/>
                <w:sz w:val="22"/>
              </w:rPr>
              <w:t xml:space="preserve">wydawanego na podstawie art. 119 § 4 </w:t>
            </w:r>
            <w:r w:rsidR="0033450F" w:rsidRPr="00EE1C60">
              <w:rPr>
                <w:rFonts w:cs="Times New Roman"/>
                <w:sz w:val="22"/>
              </w:rPr>
              <w:t>k.p.k.</w:t>
            </w:r>
            <w:r w:rsidRPr="00EE1C60">
              <w:rPr>
                <w:rFonts w:cs="Times New Roman"/>
                <w:sz w:val="22"/>
              </w:rPr>
              <w:t>, zgodnie z którym Minister jest upoważniony</w:t>
            </w:r>
            <w:r w:rsidR="00155802">
              <w:rPr>
                <w:rFonts w:cs="Times New Roman"/>
                <w:sz w:val="22"/>
              </w:rPr>
              <w:t xml:space="preserve"> </w:t>
            </w:r>
            <w:r w:rsidRPr="00EE1C60">
              <w:rPr>
                <w:rFonts w:cs="Times New Roman"/>
                <w:sz w:val="22"/>
              </w:rPr>
              <w:t>do określenia kwestii wnoszenia pism, a nie ich podpisywania, nie tylko nie mogą</w:t>
            </w:r>
            <w:r w:rsidR="00D96EF1" w:rsidRPr="00EE1C60">
              <w:rPr>
                <w:rFonts w:cs="Times New Roman"/>
                <w:sz w:val="22"/>
              </w:rPr>
              <w:t xml:space="preserve"> </w:t>
            </w:r>
            <w:r w:rsidRPr="00EE1C60">
              <w:rPr>
                <w:rFonts w:cs="Times New Roman"/>
                <w:sz w:val="22"/>
              </w:rPr>
              <w:t>modyfikować przepisów ustawy, ale nie powinny także ingerować w organizację procesu</w:t>
            </w:r>
            <w:r w:rsidR="00D96EF1" w:rsidRPr="00EE1C60">
              <w:rPr>
                <w:rFonts w:cs="Times New Roman"/>
                <w:sz w:val="22"/>
              </w:rPr>
              <w:t xml:space="preserve"> </w:t>
            </w:r>
            <w:r w:rsidRPr="00EE1C60">
              <w:rPr>
                <w:rFonts w:cs="Times New Roman"/>
                <w:sz w:val="22"/>
              </w:rPr>
              <w:t>wysyłki pism w Urzędzie PGRP. Proponujemy także rozważenie możliwości</w:t>
            </w:r>
            <w:r w:rsidR="00D96EF1" w:rsidRPr="00EE1C60">
              <w:rPr>
                <w:rFonts w:cs="Times New Roman"/>
                <w:sz w:val="22"/>
              </w:rPr>
              <w:t xml:space="preserve"> </w:t>
            </w:r>
            <w:r w:rsidRPr="00EE1C60">
              <w:rPr>
                <w:rFonts w:cs="Times New Roman"/>
                <w:sz w:val="22"/>
              </w:rPr>
              <w:t>umieszczania w portalu informacyjnym nie tylko pojedynczych dokumentów, ale także</w:t>
            </w:r>
            <w:r w:rsidR="00D96EF1" w:rsidRPr="00EE1C60">
              <w:rPr>
                <w:rFonts w:cs="Times New Roman"/>
                <w:sz w:val="22"/>
              </w:rPr>
              <w:t xml:space="preserve"> </w:t>
            </w:r>
            <w:r w:rsidRPr="00EE1C60">
              <w:rPr>
                <w:rFonts w:cs="Times New Roman"/>
                <w:sz w:val="22"/>
              </w:rPr>
              <w:t>pakietów dokumentów.</w:t>
            </w:r>
          </w:p>
        </w:tc>
        <w:tc>
          <w:tcPr>
            <w:tcW w:w="4624" w:type="dxa"/>
          </w:tcPr>
          <w:p w14:paraId="4300E500" w14:textId="77777777" w:rsidR="009D36DD" w:rsidRPr="00EE1C60" w:rsidRDefault="009D36DD"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zasadna. </w:t>
            </w:r>
          </w:p>
          <w:p w14:paraId="2B837B06" w14:textId="5183A940" w:rsidR="005D4E03" w:rsidRPr="00EE1C60" w:rsidRDefault="009D36DD" w:rsidP="00EE1C60">
            <w:pPr>
              <w:jc w:val="both"/>
              <w:rPr>
                <w:rStyle w:val="cf01"/>
                <w:rFonts w:ascii="Times New Roman" w:hAnsi="Times New Roman" w:cs="Times New Roman"/>
                <w:color w:val="FF0000"/>
                <w:sz w:val="22"/>
                <w:szCs w:val="22"/>
              </w:rPr>
            </w:pPr>
            <w:r w:rsidRPr="00EE1C60">
              <w:rPr>
                <w:rStyle w:val="cf01"/>
                <w:rFonts w:ascii="Times New Roman" w:hAnsi="Times New Roman" w:cs="Times New Roman"/>
                <w:sz w:val="22"/>
                <w:szCs w:val="22"/>
              </w:rPr>
              <w:t>Doprecyzowano brzmienie przepisu.</w:t>
            </w:r>
          </w:p>
        </w:tc>
      </w:tr>
      <w:tr w:rsidR="005D4E03" w:rsidRPr="00EE1C60" w14:paraId="2A71B7CC" w14:textId="77777777" w:rsidTr="005178F6">
        <w:trPr>
          <w:trHeight w:val="1098"/>
        </w:trPr>
        <w:tc>
          <w:tcPr>
            <w:tcW w:w="830" w:type="dxa"/>
          </w:tcPr>
          <w:p w14:paraId="3B3084DB" w14:textId="03C4AD40" w:rsidR="005D4E03" w:rsidRPr="009A0263" w:rsidRDefault="005D4E03" w:rsidP="009A0263">
            <w:pPr>
              <w:pStyle w:val="Akapitzlist"/>
              <w:numPr>
                <w:ilvl w:val="0"/>
                <w:numId w:val="4"/>
              </w:numPr>
              <w:tabs>
                <w:tab w:val="left" w:pos="360"/>
              </w:tabs>
              <w:rPr>
                <w:rFonts w:cs="Times New Roman"/>
                <w:sz w:val="22"/>
              </w:rPr>
            </w:pPr>
          </w:p>
        </w:tc>
        <w:tc>
          <w:tcPr>
            <w:tcW w:w="1682" w:type="dxa"/>
          </w:tcPr>
          <w:p w14:paraId="4F659CED" w14:textId="0E93D4B7" w:rsidR="005D4E03" w:rsidRPr="00EE1C60" w:rsidRDefault="002D22A2" w:rsidP="00EE1C60">
            <w:pPr>
              <w:jc w:val="center"/>
              <w:rPr>
                <w:rFonts w:cs="Times New Roman"/>
                <w:sz w:val="22"/>
              </w:rPr>
            </w:pPr>
            <w:r w:rsidRPr="00EE1C60">
              <w:rPr>
                <w:rFonts w:cs="Times New Roman"/>
                <w:sz w:val="22"/>
              </w:rPr>
              <w:t>tytuł</w:t>
            </w:r>
          </w:p>
        </w:tc>
        <w:tc>
          <w:tcPr>
            <w:tcW w:w="1736" w:type="dxa"/>
          </w:tcPr>
          <w:p w14:paraId="084201FF" w14:textId="04B701F1" w:rsidR="005D4E03" w:rsidRPr="00EE1C60" w:rsidRDefault="005D4E03" w:rsidP="00EE1C60">
            <w:pPr>
              <w:rPr>
                <w:rFonts w:cs="Times New Roman"/>
                <w:sz w:val="22"/>
              </w:rPr>
            </w:pPr>
            <w:r w:rsidRPr="00EE1C60">
              <w:rPr>
                <w:rFonts w:cs="Times New Roman"/>
                <w:sz w:val="22"/>
              </w:rPr>
              <w:t>Prokuratura Regionalna w Lublinie</w:t>
            </w:r>
          </w:p>
        </w:tc>
        <w:tc>
          <w:tcPr>
            <w:tcW w:w="5437" w:type="dxa"/>
          </w:tcPr>
          <w:p w14:paraId="49721D09" w14:textId="3D7052B7" w:rsidR="002F09A4" w:rsidRPr="00EE1C60" w:rsidRDefault="002F09A4" w:rsidP="00EE1C60">
            <w:pPr>
              <w:autoSpaceDE w:val="0"/>
              <w:autoSpaceDN w:val="0"/>
              <w:adjustRightInd w:val="0"/>
              <w:jc w:val="both"/>
              <w:rPr>
                <w:rFonts w:cs="Times New Roman"/>
                <w:sz w:val="22"/>
              </w:rPr>
            </w:pPr>
            <w:r w:rsidRPr="00EE1C60">
              <w:rPr>
                <w:rFonts w:cs="Times New Roman"/>
                <w:sz w:val="22"/>
              </w:rPr>
              <w:t>Równolegle opracowywany projekt rozporządzenia Ministra Sprawiedliwości w sprawie określenia trybu i sposobu wnoszenia pism procesowych w postaci elektronicznej za pośrednictwem portalu informacyjnego (A545) – dalej: projekt A545 mający stanowić wykonanie upoważnienia ustawowego zawartego w art. 1254 k.p.c. – dodanym ustawą z dnia 5 sierpnia 2025 r. o zmianie ustawy – Kodeks postępowania cywilnego, ustawy – Kodeks cywilny oraz niektórych innych ustaw (Dz. U. nr 1172) – z uwagi na taki sam tytuł od opiniowanego projektu rozporządzenia Ministra Sprawiedliwości w sprawie określenia trybu i sposobu wnoszenia pism procesowych w postaci elektronicznej za pośrednictwem portalu informacyjnego (A544) – dalej: projekt A544 odróżnia jedynie nadany numer z wykazu prac legislacyjnych.</w:t>
            </w:r>
          </w:p>
          <w:p w14:paraId="6BD351D8" w14:textId="11140E37" w:rsidR="005D4E03" w:rsidRPr="00EE1C60" w:rsidRDefault="005D4E03" w:rsidP="00EE1C60">
            <w:pPr>
              <w:autoSpaceDE w:val="0"/>
              <w:autoSpaceDN w:val="0"/>
              <w:adjustRightInd w:val="0"/>
              <w:jc w:val="both"/>
              <w:rPr>
                <w:rFonts w:cs="Times New Roman"/>
                <w:sz w:val="22"/>
              </w:rPr>
            </w:pPr>
            <w:r w:rsidRPr="00EE1C60">
              <w:rPr>
                <w:rFonts w:cs="Times New Roman"/>
                <w:sz w:val="22"/>
              </w:rPr>
              <w:t xml:space="preserve">Pozostawienie takich samych tytułów rozporządzeń regulujących tryb i sposób wnoszenia pism procesowych bez rozróżnienia rodzaju postępowania może powodować </w:t>
            </w:r>
            <w:r w:rsidRPr="00EE1C60">
              <w:rPr>
                <w:rFonts w:cs="Times New Roman"/>
                <w:sz w:val="22"/>
              </w:rPr>
              <w:lastRenderedPageBreak/>
              <w:t>pomyłki podmiotów uprawnionych do wnoszenia pism w postaci elektronicznej.</w:t>
            </w:r>
          </w:p>
          <w:p w14:paraId="439A6A44" w14:textId="77777777" w:rsidR="005D4E03" w:rsidRPr="00EE1C60" w:rsidRDefault="005D4E03" w:rsidP="00EE1C60">
            <w:pPr>
              <w:autoSpaceDE w:val="0"/>
              <w:autoSpaceDN w:val="0"/>
              <w:adjustRightInd w:val="0"/>
              <w:jc w:val="both"/>
              <w:rPr>
                <w:rFonts w:cs="Times New Roman"/>
                <w:sz w:val="22"/>
              </w:rPr>
            </w:pPr>
            <w:r w:rsidRPr="00EE1C60">
              <w:rPr>
                <w:rFonts w:cs="Times New Roman"/>
                <w:sz w:val="22"/>
              </w:rPr>
              <w:t>Dodanie na końcu tytułu opiniowanego projektu A544 słów: „… w postępowaniu karnym” precyzyjnie określi jego przedmiot wskazując rodzaj postępowania, w którym ma zastosowanie, a jednocześnie tytuł nadal będzie sformułowany możliwie najzwięźlej</w:t>
            </w:r>
            <w:r w:rsidR="00D96EF1" w:rsidRPr="00EE1C60">
              <w:rPr>
                <w:rFonts w:cs="Times New Roman"/>
                <w:sz w:val="22"/>
              </w:rPr>
              <w:t>.</w:t>
            </w:r>
          </w:p>
          <w:p w14:paraId="67535B91" w14:textId="15EB795D" w:rsidR="002F09A4" w:rsidRPr="00EE1C60" w:rsidRDefault="002F09A4" w:rsidP="00EE1C60">
            <w:pPr>
              <w:autoSpaceDE w:val="0"/>
              <w:autoSpaceDN w:val="0"/>
              <w:adjustRightInd w:val="0"/>
              <w:jc w:val="both"/>
              <w:rPr>
                <w:rFonts w:cs="Times New Roman"/>
                <w:sz w:val="22"/>
              </w:rPr>
            </w:pPr>
            <w:r w:rsidRPr="00EE1C60">
              <w:rPr>
                <w:rFonts w:cs="Times New Roman"/>
                <w:sz w:val="22"/>
              </w:rPr>
              <w:t>Zauważyć należy, że rozporządzenia wykonawcze dotyczące tożsamych zagadnień regulowanych w różnych trybach procesowych poprzez wskazanie tego trybu już w tytule pozwalają odbiorcy poprawnie ustalić zakres stosowania przepisów. Dla przykładu można przywołać rozporządzenie Ministra Sprawiedliwości z dnia 17 kwietnia 2024 r. w sprawie określenia stawek wynagrodzenia biegłych, taryf zryczałtowanych oraz sposobu dokumentowania wydatków niezbędnych dla wydania opinii w postępowaniu karnym (tekst jedn.: Dz.U. z 2025 r poz. 1118) oraz rozporządzenie Ministra Sprawiedliwości z dnia 17 kwietnia 2024 r. w sprawie określenia stawek wynagrodzenia biegłych, taryf zryczałtowanych oraz sposobu dokumentowania wydatków niezbędnych dla wydania opinii w postępowaniu cywilnym (tekst jedn.: Dz.U. z 2025 r poz. 1444).</w:t>
            </w:r>
          </w:p>
        </w:tc>
        <w:tc>
          <w:tcPr>
            <w:tcW w:w="4624" w:type="dxa"/>
          </w:tcPr>
          <w:p w14:paraId="05CC82D8" w14:textId="77777777" w:rsidR="005D4E03" w:rsidRPr="00EE1C60" w:rsidRDefault="002702B7"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zasadna. </w:t>
            </w:r>
          </w:p>
          <w:p w14:paraId="03ECB1E8" w14:textId="72960D90" w:rsidR="00F273CC" w:rsidRPr="00EE1C60" w:rsidRDefault="00F273CC" w:rsidP="00EE1C60">
            <w:pPr>
              <w:jc w:val="both"/>
              <w:rPr>
                <w:rStyle w:val="cf01"/>
                <w:rFonts w:ascii="Times New Roman" w:hAnsi="Times New Roman" w:cs="Times New Roman"/>
                <w:color w:val="FF0000"/>
                <w:sz w:val="22"/>
                <w:szCs w:val="22"/>
              </w:rPr>
            </w:pPr>
            <w:r w:rsidRPr="00EE1C60">
              <w:rPr>
                <w:rStyle w:val="cf01"/>
                <w:rFonts w:ascii="Times New Roman" w:hAnsi="Times New Roman" w:cs="Times New Roman"/>
                <w:sz w:val="22"/>
                <w:szCs w:val="22"/>
              </w:rPr>
              <w:t>Zmieniono tytuły</w:t>
            </w:r>
            <w:r w:rsidR="002F09A4" w:rsidRPr="00EE1C60">
              <w:rPr>
                <w:rStyle w:val="cf01"/>
                <w:rFonts w:ascii="Times New Roman" w:hAnsi="Times New Roman" w:cs="Times New Roman"/>
                <w:sz w:val="22"/>
                <w:szCs w:val="22"/>
              </w:rPr>
              <w:t xml:space="preserve"> projektów A544 i A545.</w:t>
            </w:r>
          </w:p>
        </w:tc>
      </w:tr>
      <w:tr w:rsidR="005D4E03" w:rsidRPr="00EE1C60" w14:paraId="5C781AAA" w14:textId="77777777" w:rsidTr="005178F6">
        <w:trPr>
          <w:trHeight w:val="1098"/>
        </w:trPr>
        <w:tc>
          <w:tcPr>
            <w:tcW w:w="830" w:type="dxa"/>
          </w:tcPr>
          <w:p w14:paraId="5CDF4747" w14:textId="24A94EF3" w:rsidR="005D4E03" w:rsidRPr="009A0263" w:rsidRDefault="005D4E03" w:rsidP="009A0263">
            <w:pPr>
              <w:pStyle w:val="Akapitzlist"/>
              <w:numPr>
                <w:ilvl w:val="0"/>
                <w:numId w:val="4"/>
              </w:numPr>
              <w:tabs>
                <w:tab w:val="left" w:pos="360"/>
              </w:tabs>
              <w:rPr>
                <w:rFonts w:cs="Times New Roman"/>
                <w:sz w:val="22"/>
              </w:rPr>
            </w:pPr>
          </w:p>
        </w:tc>
        <w:tc>
          <w:tcPr>
            <w:tcW w:w="1682" w:type="dxa"/>
          </w:tcPr>
          <w:p w14:paraId="7CBE4C73" w14:textId="5088C21D" w:rsidR="005D4E03" w:rsidRPr="00EE1C60" w:rsidRDefault="005D4E03" w:rsidP="00EE1C60">
            <w:pPr>
              <w:jc w:val="center"/>
              <w:rPr>
                <w:rFonts w:cs="Times New Roman"/>
                <w:sz w:val="22"/>
              </w:rPr>
            </w:pPr>
            <w:r w:rsidRPr="00EE1C60">
              <w:rPr>
                <w:rFonts w:cs="Times New Roman"/>
                <w:sz w:val="22"/>
              </w:rPr>
              <w:t>§ 2 pkt 4</w:t>
            </w:r>
          </w:p>
        </w:tc>
        <w:tc>
          <w:tcPr>
            <w:tcW w:w="1736" w:type="dxa"/>
          </w:tcPr>
          <w:p w14:paraId="2B87D9EE" w14:textId="64E8A45B" w:rsidR="005D4E03" w:rsidRPr="00EE1C60" w:rsidRDefault="005D4E03" w:rsidP="00EE1C60">
            <w:pPr>
              <w:rPr>
                <w:rFonts w:cs="Times New Roman"/>
                <w:sz w:val="22"/>
              </w:rPr>
            </w:pPr>
            <w:r w:rsidRPr="00EE1C60">
              <w:rPr>
                <w:rFonts w:cs="Times New Roman"/>
                <w:sz w:val="22"/>
              </w:rPr>
              <w:t>Prokuratura Regionalna w Lublinie</w:t>
            </w:r>
          </w:p>
        </w:tc>
        <w:tc>
          <w:tcPr>
            <w:tcW w:w="5437" w:type="dxa"/>
          </w:tcPr>
          <w:p w14:paraId="392BBD22" w14:textId="77777777" w:rsidR="005D4E03" w:rsidRPr="00EE1C60" w:rsidRDefault="005D4E03" w:rsidP="00EE1C60">
            <w:pPr>
              <w:autoSpaceDE w:val="0"/>
              <w:autoSpaceDN w:val="0"/>
              <w:adjustRightInd w:val="0"/>
              <w:jc w:val="both"/>
              <w:rPr>
                <w:rFonts w:cs="Times New Roman"/>
                <w:sz w:val="22"/>
              </w:rPr>
            </w:pPr>
            <w:r w:rsidRPr="00EE1C60">
              <w:rPr>
                <w:rFonts w:cs="Times New Roman"/>
                <w:sz w:val="22"/>
              </w:rPr>
              <w:t>W projekcie A544 użytkownik konta (§ 2 pkt 4) został zdefiniowany jako osoba fizyczna wykonująca zawód adwokata lub radcy prawnego, dla której założono konto albo prokurator lub radca Prokuratorii Generalnej Rzeczypospolitej Polskiej, będący użytkownikami konta podmiotu publicznego prokuratury lub Prokuratorii Generalnej Rzeczypospolitej Polskiej.</w:t>
            </w:r>
          </w:p>
          <w:p w14:paraId="5E03A0A9" w14:textId="77777777" w:rsidR="005D4E03" w:rsidRPr="00EE1C60" w:rsidRDefault="005D4E03" w:rsidP="00EE1C60">
            <w:pPr>
              <w:autoSpaceDE w:val="0"/>
              <w:autoSpaceDN w:val="0"/>
              <w:adjustRightInd w:val="0"/>
              <w:jc w:val="both"/>
              <w:rPr>
                <w:rFonts w:cs="Times New Roman"/>
                <w:sz w:val="22"/>
              </w:rPr>
            </w:pPr>
            <w:r w:rsidRPr="00EE1C60">
              <w:rPr>
                <w:rFonts w:cs="Times New Roman"/>
                <w:sz w:val="22"/>
              </w:rPr>
              <w:t xml:space="preserve">Analiza tej definicji, w powiązaniu z definicją wysyłającego pismo (§ 2 pkt 12) oraz uzasadnieniem projektu prowadzi </w:t>
            </w:r>
            <w:r w:rsidRPr="00EE1C60">
              <w:rPr>
                <w:rFonts w:cs="Times New Roman"/>
                <w:sz w:val="22"/>
              </w:rPr>
              <w:lastRenderedPageBreak/>
              <w:t>do przekonania o konieczności uzupełnienia pojęcia użytkownika konta o pracowników prokuratury lub Prokuratorii Generalnej.</w:t>
            </w:r>
          </w:p>
          <w:p w14:paraId="15C04692" w14:textId="4C374F08" w:rsidR="005D4E03" w:rsidRPr="00EE1C60" w:rsidRDefault="005D4E03" w:rsidP="00EE1C60">
            <w:pPr>
              <w:autoSpaceDE w:val="0"/>
              <w:autoSpaceDN w:val="0"/>
              <w:adjustRightInd w:val="0"/>
              <w:jc w:val="both"/>
              <w:rPr>
                <w:rFonts w:cs="Times New Roman"/>
                <w:sz w:val="22"/>
              </w:rPr>
            </w:pPr>
            <w:r w:rsidRPr="00EE1C60">
              <w:rPr>
                <w:rFonts w:cs="Times New Roman"/>
                <w:sz w:val="22"/>
              </w:rPr>
              <w:t>W przeciwnym razie, wbrew temu co wskazano w uzasadnieniu, wysyłającym pismo nie będzie mógł być pracownik sekretariatu prokuratury lub Prokuratorii Generalnej, a czynność wysłania pisma będzie mógł wykonać tylko prokurator lub radca Prokuratorii Generalnej.</w:t>
            </w:r>
          </w:p>
        </w:tc>
        <w:tc>
          <w:tcPr>
            <w:tcW w:w="4624" w:type="dxa"/>
          </w:tcPr>
          <w:p w14:paraId="1A3F7508" w14:textId="77777777" w:rsidR="00A50EB3" w:rsidRPr="00EE1C60" w:rsidRDefault="00A50EB3" w:rsidP="00EE1C60">
            <w:pPr>
              <w:jc w:val="both"/>
              <w:rPr>
                <w:rFonts w:cs="Times New Roman"/>
                <w:b/>
                <w:bCs/>
                <w:sz w:val="22"/>
              </w:rPr>
            </w:pPr>
            <w:r w:rsidRPr="00EE1C60">
              <w:rPr>
                <w:rStyle w:val="cf01"/>
                <w:rFonts w:ascii="Times New Roman" w:hAnsi="Times New Roman" w:cs="Times New Roman"/>
                <w:b/>
                <w:bCs/>
                <w:sz w:val="22"/>
                <w:szCs w:val="22"/>
              </w:rPr>
              <w:lastRenderedPageBreak/>
              <w:t xml:space="preserve">Uwaga częściowo uwzględniona. </w:t>
            </w:r>
            <w:r w:rsidRPr="00EE1C60">
              <w:rPr>
                <w:rFonts w:cs="Times New Roman"/>
                <w:b/>
                <w:bCs/>
                <w:sz w:val="22"/>
              </w:rPr>
              <w:t xml:space="preserve"> </w:t>
            </w:r>
          </w:p>
          <w:p w14:paraId="7CA268D5" w14:textId="77777777" w:rsidR="00083E6B" w:rsidRP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Definicja ustalająca znaczenie określenia „użytkownik konta” została sformułowana w projekcie rozporządzenia Ministra Sprawiedliwości w sprawie portalu informacyjnego (B937), w którym wskazano, że przez to określenie rozumie się osobę fizyczną, dla której założono konto w portalu informacyjnym. </w:t>
            </w:r>
          </w:p>
          <w:p w14:paraId="5C2EEC56" w14:textId="77777777" w:rsid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lastRenderedPageBreak/>
              <w:t>Mając powyższe na uwadze, w związku z koniecznością zachowania spójności terminologicznej, zmieniono zamieszczoną w projekcie (A544) definicję określenia „użytkownik konta” przez odesłanie do właściwego przepisu rozporządzenia Ministra Sprawiedliwości w sprawie portalu informacyjnego (obecnie projekt B937).</w:t>
            </w:r>
          </w:p>
          <w:p w14:paraId="0C6010FB" w14:textId="5C4B9F66" w:rsidR="005D4E03" w:rsidRP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Niezależnie od powyższego niezasadna</w:t>
            </w:r>
            <w:r w:rsidR="00A50EB3" w:rsidRPr="00EE1C60">
              <w:rPr>
                <w:rStyle w:val="cf01"/>
                <w:rFonts w:ascii="Times New Roman" w:hAnsi="Times New Roman" w:cs="Times New Roman"/>
                <w:color w:val="FF0000"/>
                <w:sz w:val="22"/>
                <w:szCs w:val="22"/>
              </w:rPr>
              <w:t xml:space="preserve"> </w:t>
            </w:r>
            <w:r w:rsidR="00A50EB3" w:rsidRPr="00EE1C60">
              <w:rPr>
                <w:rStyle w:val="cf01"/>
                <w:rFonts w:ascii="Times New Roman" w:hAnsi="Times New Roman" w:cs="Times New Roman"/>
                <w:sz w:val="22"/>
                <w:szCs w:val="22"/>
              </w:rPr>
              <w:t>jest uwaga</w:t>
            </w:r>
            <w:r w:rsidRPr="00EE1C60">
              <w:rPr>
                <w:rStyle w:val="cf01"/>
                <w:rFonts w:ascii="Times New Roman" w:hAnsi="Times New Roman" w:cs="Times New Roman"/>
                <w:sz w:val="22"/>
                <w:szCs w:val="22"/>
              </w:rPr>
              <w:t xml:space="preserve"> w zakresie </w:t>
            </w:r>
            <w:r w:rsidR="00A50EB3" w:rsidRPr="00EE1C60">
              <w:rPr>
                <w:rStyle w:val="cf01"/>
                <w:rFonts w:ascii="Times New Roman" w:hAnsi="Times New Roman" w:cs="Times New Roman"/>
                <w:sz w:val="22"/>
                <w:szCs w:val="22"/>
              </w:rPr>
              <w:t>dotycząc</w:t>
            </w:r>
            <w:r w:rsidRPr="00EE1C60">
              <w:rPr>
                <w:rStyle w:val="cf01"/>
                <w:rFonts w:ascii="Times New Roman" w:hAnsi="Times New Roman" w:cs="Times New Roman"/>
                <w:sz w:val="22"/>
                <w:szCs w:val="22"/>
              </w:rPr>
              <w:t>ym</w:t>
            </w:r>
            <w:r w:rsidR="00A50EB3" w:rsidRPr="00EE1C60">
              <w:rPr>
                <w:rStyle w:val="cf01"/>
                <w:rFonts w:ascii="Times New Roman" w:hAnsi="Times New Roman" w:cs="Times New Roman"/>
                <w:sz w:val="22"/>
                <w:szCs w:val="22"/>
              </w:rPr>
              <w:t xml:space="preserve"> konieczności uzupełnienia pojęcia </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użytkownika konta</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 xml:space="preserve"> o pracowników prokuratury lub Prokuratorii Generalnej. Zaproponowana definicja </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użytkowania konta</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 jest regulacją wystarczającą dla zapewnienia działania kont prokuratury i PGRP. Prokuratorzy i pracownicy prokuratury będą mogli korzystać z tych kont za pomocą profili zależnych.</w:t>
            </w:r>
          </w:p>
        </w:tc>
      </w:tr>
      <w:tr w:rsidR="005D4E03" w:rsidRPr="00EE1C60" w14:paraId="794EE068" w14:textId="77777777" w:rsidTr="005178F6">
        <w:trPr>
          <w:trHeight w:val="1098"/>
        </w:trPr>
        <w:tc>
          <w:tcPr>
            <w:tcW w:w="830" w:type="dxa"/>
          </w:tcPr>
          <w:p w14:paraId="255244F7" w14:textId="6A0400E5" w:rsidR="005D4E03" w:rsidRPr="009A0263" w:rsidRDefault="005D4E03" w:rsidP="009A0263">
            <w:pPr>
              <w:pStyle w:val="Akapitzlist"/>
              <w:numPr>
                <w:ilvl w:val="0"/>
                <w:numId w:val="4"/>
              </w:numPr>
              <w:tabs>
                <w:tab w:val="left" w:pos="360"/>
              </w:tabs>
              <w:jc w:val="center"/>
              <w:rPr>
                <w:rFonts w:cs="Times New Roman"/>
                <w:sz w:val="22"/>
              </w:rPr>
            </w:pPr>
          </w:p>
        </w:tc>
        <w:tc>
          <w:tcPr>
            <w:tcW w:w="1682" w:type="dxa"/>
          </w:tcPr>
          <w:p w14:paraId="602C898D" w14:textId="5A0AEA7E" w:rsidR="005D4E03" w:rsidRPr="00EE1C60" w:rsidRDefault="005A43E9" w:rsidP="00EE1C60">
            <w:pPr>
              <w:jc w:val="center"/>
              <w:rPr>
                <w:rFonts w:cs="Times New Roman"/>
                <w:sz w:val="22"/>
              </w:rPr>
            </w:pPr>
            <w:r w:rsidRPr="00EE1C60">
              <w:rPr>
                <w:rFonts w:cs="Times New Roman"/>
                <w:sz w:val="22"/>
              </w:rPr>
              <w:t>§ 2 pkt 6</w:t>
            </w:r>
            <w:r w:rsidR="00E67133" w:rsidRPr="00EE1C60">
              <w:rPr>
                <w:rFonts w:cs="Times New Roman"/>
                <w:sz w:val="22"/>
              </w:rPr>
              <w:t xml:space="preserve"> i 12</w:t>
            </w:r>
          </w:p>
        </w:tc>
        <w:tc>
          <w:tcPr>
            <w:tcW w:w="1736" w:type="dxa"/>
          </w:tcPr>
          <w:p w14:paraId="27A5CD8D" w14:textId="435D091D" w:rsidR="005D4E03" w:rsidRPr="00EE1C60" w:rsidRDefault="005A43E9" w:rsidP="00EE1C60">
            <w:pPr>
              <w:rPr>
                <w:rFonts w:cs="Times New Roman"/>
                <w:sz w:val="22"/>
              </w:rPr>
            </w:pPr>
            <w:r w:rsidRPr="00EE1C60">
              <w:rPr>
                <w:rFonts w:cs="Times New Roman"/>
                <w:sz w:val="22"/>
              </w:rPr>
              <w:t>Prokuratura Regionalna w Lublinie</w:t>
            </w:r>
          </w:p>
        </w:tc>
        <w:tc>
          <w:tcPr>
            <w:tcW w:w="5437" w:type="dxa"/>
          </w:tcPr>
          <w:p w14:paraId="3183557B" w14:textId="77777777" w:rsidR="00CA3B4F" w:rsidRPr="00EE1C60" w:rsidRDefault="005A43E9" w:rsidP="00EE1C60">
            <w:pPr>
              <w:autoSpaceDE w:val="0"/>
              <w:autoSpaceDN w:val="0"/>
              <w:adjustRightInd w:val="0"/>
              <w:jc w:val="both"/>
              <w:rPr>
                <w:rFonts w:cs="Times New Roman"/>
                <w:sz w:val="22"/>
              </w:rPr>
            </w:pPr>
            <w:r w:rsidRPr="00EE1C60">
              <w:rPr>
                <w:rFonts w:cs="Times New Roman"/>
                <w:sz w:val="22"/>
              </w:rPr>
              <w:t>W odniesieniu do pojęć: wniesienia pisma (§ 2 pkt 6) oraz wysyłającego pismo (§ 2 pkt 12) należy podnieść, że w istocie dotyczą one tej samej czynności i tej samej osoby, przy czym pierwsze definiuje osobę, a drugie czynność.</w:t>
            </w:r>
            <w:r w:rsidR="00D96EF1" w:rsidRPr="00EE1C60">
              <w:rPr>
                <w:rFonts w:cs="Times New Roman"/>
                <w:sz w:val="22"/>
              </w:rPr>
              <w:t xml:space="preserve"> </w:t>
            </w:r>
            <w:r w:rsidRPr="00EE1C60">
              <w:rPr>
                <w:rFonts w:cs="Times New Roman"/>
                <w:sz w:val="22"/>
              </w:rPr>
              <w:t>Ich analiza prowadzi do przekonania, że czynność wniesienia pisma, rozumiana jako wywołanie funkcji „złóż pismo” przez użytkownika konta, jest tożsama z czynnością wykonywaną przez wysyłającego pismo.</w:t>
            </w:r>
            <w:r w:rsidR="00D96EF1" w:rsidRPr="00EE1C60">
              <w:rPr>
                <w:rFonts w:cs="Times New Roman"/>
                <w:sz w:val="22"/>
              </w:rPr>
              <w:t xml:space="preserve"> </w:t>
            </w:r>
          </w:p>
          <w:p w14:paraId="1ECB6035" w14:textId="572D17F8" w:rsidR="005D4E03" w:rsidRPr="00EE1C60" w:rsidRDefault="005D4E03" w:rsidP="00EE1C60">
            <w:pPr>
              <w:autoSpaceDE w:val="0"/>
              <w:autoSpaceDN w:val="0"/>
              <w:adjustRightInd w:val="0"/>
              <w:jc w:val="both"/>
              <w:rPr>
                <w:rFonts w:cs="Times New Roman"/>
                <w:sz w:val="22"/>
              </w:rPr>
            </w:pPr>
          </w:p>
        </w:tc>
        <w:tc>
          <w:tcPr>
            <w:tcW w:w="4624" w:type="dxa"/>
          </w:tcPr>
          <w:p w14:paraId="1D5DF64A" w14:textId="77777777" w:rsidR="005D4E03" w:rsidRPr="00EE1C60" w:rsidRDefault="000A54B3"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niezasadna.</w:t>
            </w:r>
          </w:p>
          <w:p w14:paraId="7B369DC1" w14:textId="77EDD30E" w:rsidR="00E67133" w:rsidRPr="00EE1C60" w:rsidRDefault="00E6713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Rozróżnienie między „wnoszącym pismo” a „wysyłającym pismo” odzwierciedla zasady funkcjonowania portalu informacyjnego w kontekście podejmowanych czynności i ich skutków procesowych. „Wnoszący pismo” to właściciel konta, który jest stroną lub pełnomocnikiem strony i jest upoważniony do wnoszenia pisma na podstawie przepisów szczególnych (nie jest to więc każdy właściciel konta). Natomiast „wysyłający pismo” to użytkownik konta (osoba fizyczna), która faktycznie dokonuje czynności technicznej – wywołuje odpowiednią funkcję w systemie. Kwestie te zostały szerzej omówione w </w:t>
            </w:r>
            <w:r w:rsidRPr="00EE1C60">
              <w:rPr>
                <w:rStyle w:val="cf01"/>
                <w:rFonts w:ascii="Times New Roman" w:hAnsi="Times New Roman" w:cs="Times New Roman"/>
                <w:sz w:val="22"/>
                <w:szCs w:val="22"/>
              </w:rPr>
              <w:lastRenderedPageBreak/>
              <w:t>uzasadnieniu projektu. W przypadku działania w portalu informacyjnym z użyciem profili zależnych osoba, która będzie „wnoszącym pismo” nie będzie pokrywała się z „wysyłającym pismo”. Rozróżnienie tych osób ma znaczenie np. dla zapewnienia rozliczalności działań w systemie. Dla zobrazowania tej różnicy można posłużyć się analogicznym rozróżnieniem między pełnomocnikiem składającym pismo drogą pocztową i osobą, której polecono nadanie przesyłki na poczcie (np. pracownik kancelarii).</w:t>
            </w:r>
          </w:p>
        </w:tc>
      </w:tr>
      <w:tr w:rsidR="00CA3B4F" w:rsidRPr="00EE1C60" w14:paraId="37F4AED1" w14:textId="77777777" w:rsidTr="005178F6">
        <w:trPr>
          <w:trHeight w:val="1098"/>
        </w:trPr>
        <w:tc>
          <w:tcPr>
            <w:tcW w:w="830" w:type="dxa"/>
          </w:tcPr>
          <w:p w14:paraId="4F5F3521" w14:textId="77777777" w:rsidR="00CA3B4F" w:rsidRPr="009A0263" w:rsidRDefault="00CA3B4F" w:rsidP="009A0263">
            <w:pPr>
              <w:pStyle w:val="Akapitzlist"/>
              <w:numPr>
                <w:ilvl w:val="0"/>
                <w:numId w:val="4"/>
              </w:numPr>
              <w:tabs>
                <w:tab w:val="left" w:pos="360"/>
              </w:tabs>
              <w:jc w:val="center"/>
              <w:rPr>
                <w:rFonts w:cs="Times New Roman"/>
                <w:sz w:val="22"/>
              </w:rPr>
            </w:pPr>
          </w:p>
        </w:tc>
        <w:tc>
          <w:tcPr>
            <w:tcW w:w="1682" w:type="dxa"/>
          </w:tcPr>
          <w:p w14:paraId="128618D2" w14:textId="1E3908FA" w:rsidR="00CA3B4F" w:rsidRPr="00EE1C60" w:rsidRDefault="00CA3B4F" w:rsidP="00EE1C60">
            <w:pPr>
              <w:jc w:val="center"/>
              <w:rPr>
                <w:rFonts w:cs="Times New Roman"/>
                <w:sz w:val="22"/>
              </w:rPr>
            </w:pPr>
            <w:r w:rsidRPr="00EE1C60">
              <w:rPr>
                <w:rFonts w:cs="Times New Roman"/>
                <w:sz w:val="22"/>
              </w:rPr>
              <w:t>§ 2 pkt 6</w:t>
            </w:r>
          </w:p>
        </w:tc>
        <w:tc>
          <w:tcPr>
            <w:tcW w:w="1736" w:type="dxa"/>
          </w:tcPr>
          <w:p w14:paraId="3D72DDFF" w14:textId="0E5D4387" w:rsidR="00CA3B4F" w:rsidRPr="00EE1C60" w:rsidRDefault="00CA3B4F" w:rsidP="00EE1C60">
            <w:pPr>
              <w:rPr>
                <w:rFonts w:cs="Times New Roman"/>
                <w:sz w:val="22"/>
              </w:rPr>
            </w:pPr>
            <w:r w:rsidRPr="00EE1C60">
              <w:rPr>
                <w:rFonts w:cs="Times New Roman"/>
                <w:sz w:val="22"/>
              </w:rPr>
              <w:t>Prokuratura Regionalna w Lublinie</w:t>
            </w:r>
          </w:p>
        </w:tc>
        <w:tc>
          <w:tcPr>
            <w:tcW w:w="5437" w:type="dxa"/>
          </w:tcPr>
          <w:p w14:paraId="7ABB51D4" w14:textId="501D6752" w:rsidR="00CA3B4F" w:rsidRPr="00EE1C60" w:rsidRDefault="00CA3B4F" w:rsidP="00EE1C60">
            <w:pPr>
              <w:autoSpaceDE w:val="0"/>
              <w:autoSpaceDN w:val="0"/>
              <w:adjustRightInd w:val="0"/>
              <w:jc w:val="both"/>
              <w:rPr>
                <w:rFonts w:cs="Times New Roman"/>
                <w:sz w:val="22"/>
              </w:rPr>
            </w:pPr>
            <w:r w:rsidRPr="00EE1C60">
              <w:rPr>
                <w:rFonts w:cs="Times New Roman"/>
                <w:sz w:val="22"/>
              </w:rPr>
              <w:t>W obu definicjach odwołano się do przepisów Kodeksu postępowania karnego, przy czym nie do końca wiadomo których. W § pkt 6 – wskazano art. 116a k.p.k., w § pkt 12 – § 1 k.p.k. bez wskazania podstawowej jednostki redakcyjnej, natomiast w uzasadnieniu projektu dotyczącym tych części - art. 119 k.p.k. i art. 116a § 2 k.p.k.</w:t>
            </w:r>
          </w:p>
        </w:tc>
        <w:tc>
          <w:tcPr>
            <w:tcW w:w="4624" w:type="dxa"/>
          </w:tcPr>
          <w:p w14:paraId="7F3F3C2E" w14:textId="5903BCE3" w:rsidR="00CA3B4F" w:rsidRPr="00EE1C60" w:rsidRDefault="00CA3B4F"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bezprzedmiotowa</w:t>
            </w:r>
            <w:r w:rsidRPr="00EE1C60">
              <w:rPr>
                <w:rStyle w:val="cf01"/>
                <w:rFonts w:ascii="Times New Roman" w:hAnsi="Times New Roman" w:cs="Times New Roman"/>
                <w:sz w:val="22"/>
                <w:szCs w:val="22"/>
              </w:rPr>
              <w:t>, z uwagi na zmianę kwestionowanych definicji.</w:t>
            </w:r>
          </w:p>
        </w:tc>
      </w:tr>
      <w:tr w:rsidR="00CA3B4F" w:rsidRPr="00EE1C60" w14:paraId="0BE245A3" w14:textId="77777777" w:rsidTr="005178F6">
        <w:trPr>
          <w:trHeight w:val="1098"/>
        </w:trPr>
        <w:tc>
          <w:tcPr>
            <w:tcW w:w="830" w:type="dxa"/>
          </w:tcPr>
          <w:p w14:paraId="3E0E2DD3" w14:textId="77777777" w:rsidR="00CA3B4F" w:rsidRPr="009A0263" w:rsidRDefault="00CA3B4F" w:rsidP="009A0263">
            <w:pPr>
              <w:pStyle w:val="Akapitzlist"/>
              <w:numPr>
                <w:ilvl w:val="0"/>
                <w:numId w:val="4"/>
              </w:numPr>
              <w:tabs>
                <w:tab w:val="left" w:pos="360"/>
              </w:tabs>
              <w:jc w:val="center"/>
              <w:rPr>
                <w:rFonts w:cs="Times New Roman"/>
                <w:sz w:val="22"/>
              </w:rPr>
            </w:pPr>
          </w:p>
        </w:tc>
        <w:tc>
          <w:tcPr>
            <w:tcW w:w="1682" w:type="dxa"/>
          </w:tcPr>
          <w:p w14:paraId="4100D3BD" w14:textId="5F4699BD" w:rsidR="00CA3B4F" w:rsidRPr="00EE1C60" w:rsidRDefault="00CA3B4F" w:rsidP="00EE1C60">
            <w:pPr>
              <w:jc w:val="center"/>
              <w:rPr>
                <w:rFonts w:cs="Times New Roman"/>
                <w:sz w:val="22"/>
              </w:rPr>
            </w:pPr>
            <w:r w:rsidRPr="00EE1C60">
              <w:rPr>
                <w:rFonts w:cs="Times New Roman"/>
                <w:sz w:val="22"/>
              </w:rPr>
              <w:t>§ 2 pkt 6</w:t>
            </w:r>
          </w:p>
        </w:tc>
        <w:tc>
          <w:tcPr>
            <w:tcW w:w="1736" w:type="dxa"/>
          </w:tcPr>
          <w:p w14:paraId="57C7DC90" w14:textId="5A02622F" w:rsidR="00CA3B4F" w:rsidRPr="00EE1C60" w:rsidRDefault="00CA3B4F" w:rsidP="00EE1C60">
            <w:pPr>
              <w:rPr>
                <w:rFonts w:cs="Times New Roman"/>
                <w:sz w:val="22"/>
              </w:rPr>
            </w:pPr>
            <w:r w:rsidRPr="00EE1C60">
              <w:rPr>
                <w:rFonts w:cs="Times New Roman"/>
                <w:sz w:val="22"/>
              </w:rPr>
              <w:t>Prokuratura Regionalna w Lublinie</w:t>
            </w:r>
          </w:p>
        </w:tc>
        <w:tc>
          <w:tcPr>
            <w:tcW w:w="5437" w:type="dxa"/>
          </w:tcPr>
          <w:p w14:paraId="29657786" w14:textId="13119959" w:rsidR="00CA3B4F" w:rsidRPr="00EE1C60" w:rsidRDefault="00CA3B4F" w:rsidP="00EE1C60">
            <w:pPr>
              <w:autoSpaceDE w:val="0"/>
              <w:autoSpaceDN w:val="0"/>
              <w:adjustRightInd w:val="0"/>
              <w:jc w:val="both"/>
              <w:rPr>
                <w:rFonts w:cs="Times New Roman"/>
                <w:sz w:val="22"/>
              </w:rPr>
            </w:pPr>
            <w:r w:rsidRPr="00EE1C60">
              <w:rPr>
                <w:rFonts w:cs="Times New Roman"/>
                <w:sz w:val="22"/>
              </w:rPr>
              <w:t>Z definicji pojęcia wniesienia pisma (§ 2 pkt 6) należy rozważyć usunięcie słów „przez użytkownika konta”, ponieważ dla wyjaśnienia tej czynności nie ma znaczenia osoba ją wykonująca oraz precyzyjnie wskazać przepisy Kodeksu postępowania karnego.</w:t>
            </w:r>
          </w:p>
        </w:tc>
        <w:tc>
          <w:tcPr>
            <w:tcW w:w="4624" w:type="dxa"/>
          </w:tcPr>
          <w:p w14:paraId="34A72925" w14:textId="772FC676" w:rsidR="00CA3B4F" w:rsidRPr="00EE1C60" w:rsidRDefault="00CA3B4F"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p>
        </w:tc>
      </w:tr>
      <w:tr w:rsidR="005A43E9" w:rsidRPr="00EE1C60" w14:paraId="3223D866" w14:textId="77777777" w:rsidTr="005178F6">
        <w:trPr>
          <w:trHeight w:val="1098"/>
        </w:trPr>
        <w:tc>
          <w:tcPr>
            <w:tcW w:w="830" w:type="dxa"/>
          </w:tcPr>
          <w:p w14:paraId="04A1D32E" w14:textId="215250CC" w:rsidR="005A43E9" w:rsidRPr="009A0263" w:rsidRDefault="005A43E9" w:rsidP="009A0263">
            <w:pPr>
              <w:pStyle w:val="Akapitzlist"/>
              <w:numPr>
                <w:ilvl w:val="0"/>
                <w:numId w:val="4"/>
              </w:numPr>
              <w:tabs>
                <w:tab w:val="left" w:pos="360"/>
              </w:tabs>
              <w:rPr>
                <w:rFonts w:cs="Times New Roman"/>
                <w:sz w:val="22"/>
              </w:rPr>
            </w:pPr>
          </w:p>
        </w:tc>
        <w:tc>
          <w:tcPr>
            <w:tcW w:w="1682" w:type="dxa"/>
          </w:tcPr>
          <w:p w14:paraId="4F2F51C5" w14:textId="7B7AD879" w:rsidR="005A43E9" w:rsidRPr="00EE1C60" w:rsidRDefault="005A43E9" w:rsidP="00EE1C60">
            <w:pPr>
              <w:jc w:val="center"/>
              <w:rPr>
                <w:rFonts w:cs="Times New Roman"/>
                <w:sz w:val="22"/>
              </w:rPr>
            </w:pPr>
            <w:r w:rsidRPr="00EE1C60">
              <w:rPr>
                <w:rFonts w:cs="Times New Roman"/>
                <w:sz w:val="22"/>
              </w:rPr>
              <w:t>§ pkt 7</w:t>
            </w:r>
          </w:p>
        </w:tc>
        <w:tc>
          <w:tcPr>
            <w:tcW w:w="1736" w:type="dxa"/>
          </w:tcPr>
          <w:p w14:paraId="6560C609" w14:textId="2332C917"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4C9A2E72" w14:textId="1148BF87" w:rsidR="005A43E9" w:rsidRPr="00EE1C60" w:rsidRDefault="005A43E9" w:rsidP="00EE1C60">
            <w:pPr>
              <w:autoSpaceDE w:val="0"/>
              <w:autoSpaceDN w:val="0"/>
              <w:adjustRightInd w:val="0"/>
              <w:jc w:val="both"/>
              <w:rPr>
                <w:rFonts w:cs="Times New Roman"/>
                <w:sz w:val="22"/>
              </w:rPr>
            </w:pPr>
            <w:r w:rsidRPr="00EE1C60">
              <w:rPr>
                <w:rFonts w:cs="Times New Roman"/>
                <w:sz w:val="22"/>
              </w:rPr>
              <w:t xml:space="preserve">Definiowanie pojęcia pisma (§ pkt 7) jako pisma procesowego jest zbędne, ponieważ rozporządzenie ma określać tryb i sposób wnoszenia pism procesowych to oczywistym jest to, że przez pismo należy rozumieć pismo procesowe, zwłaszcza że przepisy art. 116a § 1 k.p.k. w zw. z art. 422 § 1b k.p.k. i art. 428 § 3 k.p.k. – w brzmieniu nadanym ustawą z dnia 9 lipca 2025 r. o zmianie ustawy – Kodeks postępowania karnego oraz niektórych innych ustaw (Dz. U. poz. 1178) – wyraźnie wskazują jakie pisma </w:t>
            </w:r>
            <w:r w:rsidRPr="00EE1C60">
              <w:rPr>
                <w:rFonts w:cs="Times New Roman"/>
                <w:sz w:val="22"/>
              </w:rPr>
              <w:lastRenderedPageBreak/>
              <w:t>mogą być wnoszone w postaci elektronicznej za pośrednictwem portalu informacyjnego.</w:t>
            </w:r>
          </w:p>
        </w:tc>
        <w:tc>
          <w:tcPr>
            <w:tcW w:w="4624" w:type="dxa"/>
          </w:tcPr>
          <w:p w14:paraId="51F4A9D3" w14:textId="67F469CE" w:rsidR="005A43E9" w:rsidRPr="00EE1C60" w:rsidRDefault="00BD7DC5"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lastRenderedPageBreak/>
              <w:t xml:space="preserve">Uwaga </w:t>
            </w:r>
            <w:r w:rsidR="008244FF" w:rsidRPr="00EE1C60">
              <w:rPr>
                <w:rStyle w:val="cf01"/>
                <w:rFonts w:ascii="Times New Roman" w:hAnsi="Times New Roman" w:cs="Times New Roman"/>
                <w:b/>
                <w:bCs/>
                <w:sz w:val="22"/>
                <w:szCs w:val="22"/>
              </w:rPr>
              <w:t>uwzględniona</w:t>
            </w:r>
            <w:r w:rsidRPr="00EE1C60">
              <w:rPr>
                <w:rStyle w:val="cf01"/>
                <w:rFonts w:ascii="Times New Roman" w:hAnsi="Times New Roman" w:cs="Times New Roman"/>
                <w:b/>
                <w:bCs/>
                <w:sz w:val="22"/>
                <w:szCs w:val="22"/>
              </w:rPr>
              <w:t xml:space="preserve">. </w:t>
            </w:r>
          </w:p>
        </w:tc>
      </w:tr>
      <w:tr w:rsidR="005A43E9" w:rsidRPr="00EE1C60" w14:paraId="0B02B8DA" w14:textId="77777777" w:rsidTr="005178F6">
        <w:trPr>
          <w:trHeight w:val="1098"/>
        </w:trPr>
        <w:tc>
          <w:tcPr>
            <w:tcW w:w="830" w:type="dxa"/>
          </w:tcPr>
          <w:p w14:paraId="62C54CDD" w14:textId="4F5ED9B5" w:rsidR="005A43E9" w:rsidRPr="009A0263" w:rsidRDefault="005A43E9" w:rsidP="009A0263">
            <w:pPr>
              <w:pStyle w:val="Akapitzlist"/>
              <w:numPr>
                <w:ilvl w:val="0"/>
                <w:numId w:val="4"/>
              </w:numPr>
              <w:tabs>
                <w:tab w:val="left" w:pos="360"/>
              </w:tabs>
              <w:jc w:val="center"/>
              <w:rPr>
                <w:rFonts w:cs="Times New Roman"/>
                <w:sz w:val="22"/>
              </w:rPr>
            </w:pPr>
          </w:p>
        </w:tc>
        <w:tc>
          <w:tcPr>
            <w:tcW w:w="1682" w:type="dxa"/>
          </w:tcPr>
          <w:p w14:paraId="4622B2FF" w14:textId="34B78204" w:rsidR="005A43E9" w:rsidRPr="00EE1C60" w:rsidRDefault="005A43E9" w:rsidP="00EE1C60">
            <w:pPr>
              <w:jc w:val="center"/>
              <w:rPr>
                <w:rFonts w:cs="Times New Roman"/>
                <w:sz w:val="22"/>
              </w:rPr>
            </w:pPr>
            <w:r w:rsidRPr="00EE1C60">
              <w:rPr>
                <w:rFonts w:cs="Times New Roman"/>
                <w:sz w:val="22"/>
              </w:rPr>
              <w:t>§</w:t>
            </w:r>
            <w:r w:rsidR="00EF155B">
              <w:rPr>
                <w:rFonts w:cs="Times New Roman"/>
                <w:sz w:val="22"/>
              </w:rPr>
              <w:t xml:space="preserve"> </w:t>
            </w:r>
            <w:r w:rsidR="00EF155B">
              <w:t>2</w:t>
            </w:r>
            <w:r w:rsidRPr="00EE1C60">
              <w:rPr>
                <w:rFonts w:cs="Times New Roman"/>
                <w:sz w:val="22"/>
              </w:rPr>
              <w:t xml:space="preserve"> pkt 10</w:t>
            </w:r>
          </w:p>
        </w:tc>
        <w:tc>
          <w:tcPr>
            <w:tcW w:w="1736" w:type="dxa"/>
          </w:tcPr>
          <w:p w14:paraId="3C39AC04" w14:textId="0C499FB8"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0B88E4F5" w14:textId="023E7702" w:rsidR="005A43E9" w:rsidRPr="00EE1C60" w:rsidRDefault="005A43E9" w:rsidP="00EE1C60">
            <w:pPr>
              <w:autoSpaceDE w:val="0"/>
              <w:autoSpaceDN w:val="0"/>
              <w:adjustRightInd w:val="0"/>
              <w:jc w:val="both"/>
              <w:rPr>
                <w:rFonts w:cs="Times New Roman"/>
                <w:sz w:val="22"/>
              </w:rPr>
            </w:pPr>
            <w:r w:rsidRPr="00EE1C60">
              <w:rPr>
                <w:rFonts w:cs="Times New Roman"/>
                <w:sz w:val="22"/>
              </w:rPr>
              <w:t>W odniesieniu do pojęcia metryki pisma (§ pkt 10) należy zauważyć, że projekt posługuje się pojęciami wnoszącego i wysyłającego pismo, a zatem należy rozważyć zasadność ujednolicenia terminów w obrębie projektowanego rozporządzenia poprzez zastąpienie wyrazu „nadawca” wyrazem „wnoszący” albo „wnoszący, wysyłający”, zwłaszcza że te dane identyfikujące pismo przywołano w uzasadnieniu projektu.</w:t>
            </w:r>
          </w:p>
        </w:tc>
        <w:tc>
          <w:tcPr>
            <w:tcW w:w="4624" w:type="dxa"/>
          </w:tcPr>
          <w:p w14:paraId="1DC433C4" w14:textId="4171128E" w:rsidR="005A43E9" w:rsidRPr="00EE1C60" w:rsidRDefault="008244FF"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t>Uwaga uwzględniona.</w:t>
            </w:r>
          </w:p>
        </w:tc>
      </w:tr>
      <w:tr w:rsidR="005A43E9" w:rsidRPr="00EE1C60" w14:paraId="05F878F4" w14:textId="77777777" w:rsidTr="005178F6">
        <w:trPr>
          <w:trHeight w:val="1098"/>
        </w:trPr>
        <w:tc>
          <w:tcPr>
            <w:tcW w:w="830" w:type="dxa"/>
          </w:tcPr>
          <w:p w14:paraId="122130B7" w14:textId="4DC0EA13" w:rsidR="005A43E9" w:rsidRPr="009A0263" w:rsidRDefault="005A43E9" w:rsidP="009A0263">
            <w:pPr>
              <w:pStyle w:val="Akapitzlist"/>
              <w:numPr>
                <w:ilvl w:val="0"/>
                <w:numId w:val="4"/>
              </w:numPr>
              <w:tabs>
                <w:tab w:val="left" w:pos="360"/>
              </w:tabs>
              <w:jc w:val="center"/>
              <w:rPr>
                <w:rFonts w:cs="Times New Roman"/>
                <w:sz w:val="22"/>
              </w:rPr>
            </w:pPr>
          </w:p>
        </w:tc>
        <w:tc>
          <w:tcPr>
            <w:tcW w:w="1682" w:type="dxa"/>
          </w:tcPr>
          <w:p w14:paraId="1E568851" w14:textId="18D9C03B" w:rsidR="005A43E9" w:rsidRPr="00EE1C60" w:rsidRDefault="00115D4B" w:rsidP="00EE1C60">
            <w:pPr>
              <w:jc w:val="center"/>
              <w:rPr>
                <w:rFonts w:cs="Times New Roman"/>
                <w:sz w:val="22"/>
              </w:rPr>
            </w:pPr>
            <w:r w:rsidRPr="00EE1C60">
              <w:rPr>
                <w:rFonts w:cs="Times New Roman"/>
                <w:sz w:val="22"/>
              </w:rPr>
              <w:t>§ 2 pkt 6 i 12</w:t>
            </w:r>
            <w:r>
              <w:rPr>
                <w:rFonts w:cs="Times New Roman"/>
                <w:sz w:val="22"/>
              </w:rPr>
              <w:t xml:space="preserve"> </w:t>
            </w:r>
            <w:r>
              <w:t>oraz uzasadnienie</w:t>
            </w:r>
          </w:p>
        </w:tc>
        <w:tc>
          <w:tcPr>
            <w:tcW w:w="1736" w:type="dxa"/>
          </w:tcPr>
          <w:p w14:paraId="78B848DD" w14:textId="6B48260C"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532860E9" w14:textId="77777777" w:rsidR="00CB5ED9" w:rsidRPr="00EE1C60" w:rsidRDefault="005A43E9" w:rsidP="00EE1C60">
            <w:pPr>
              <w:autoSpaceDE w:val="0"/>
              <w:autoSpaceDN w:val="0"/>
              <w:adjustRightInd w:val="0"/>
              <w:jc w:val="both"/>
              <w:rPr>
                <w:rFonts w:cs="Times New Roman"/>
                <w:sz w:val="22"/>
              </w:rPr>
            </w:pPr>
            <w:r w:rsidRPr="00EE1C60">
              <w:rPr>
                <w:rFonts w:cs="Times New Roman"/>
                <w:sz w:val="22"/>
              </w:rPr>
              <w:t xml:space="preserve">W definicji wysyłającego pismo (§ 2 pkt 12) posłużono się pojęciem użytkownika, natomiast w uzasadnieniu projektu wskazano, że chodzi o użytkownika portalu, a w projektowanym rozporządzeniu takie pojęcie nie jest używane. </w:t>
            </w:r>
          </w:p>
          <w:p w14:paraId="4FAB921C" w14:textId="77777777" w:rsidR="00CB5ED9" w:rsidRPr="00EE1C60" w:rsidRDefault="00CB5ED9" w:rsidP="00EE1C60">
            <w:pPr>
              <w:autoSpaceDE w:val="0"/>
              <w:autoSpaceDN w:val="0"/>
              <w:adjustRightInd w:val="0"/>
              <w:jc w:val="both"/>
              <w:rPr>
                <w:rFonts w:cs="Times New Roman"/>
                <w:sz w:val="22"/>
              </w:rPr>
            </w:pPr>
          </w:p>
          <w:p w14:paraId="50D04464" w14:textId="4F1ABC03" w:rsidR="005A43E9" w:rsidRPr="00EE1C60" w:rsidRDefault="005A43E9" w:rsidP="00EE1C60">
            <w:pPr>
              <w:autoSpaceDE w:val="0"/>
              <w:autoSpaceDN w:val="0"/>
              <w:adjustRightInd w:val="0"/>
              <w:jc w:val="both"/>
              <w:rPr>
                <w:rFonts w:cs="Times New Roman"/>
                <w:sz w:val="22"/>
              </w:rPr>
            </w:pPr>
            <w:r w:rsidRPr="00EE1C60">
              <w:rPr>
                <w:rFonts w:cs="Times New Roman"/>
                <w:sz w:val="22"/>
              </w:rPr>
              <w:t>Uwzględniając podniesioną już okoliczność krzyżowania się zakresu tego pojęcia z wniesieniem pisma (§ 2 pkt 6) zasadne będzie usunięcie definicji wysyłającego pismo, co będzie wymagało odpowiedniego dostosowania innych przepisów projektowanego rozporządzenia.</w:t>
            </w:r>
          </w:p>
        </w:tc>
        <w:tc>
          <w:tcPr>
            <w:tcW w:w="4624" w:type="dxa"/>
          </w:tcPr>
          <w:p w14:paraId="2001B1B1" w14:textId="1AC935DE" w:rsidR="005A43E9" w:rsidRPr="00EE1C60" w:rsidRDefault="008244FF"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t>Uwaga uwzględniona.</w:t>
            </w:r>
          </w:p>
          <w:p w14:paraId="3F875C6D" w14:textId="77777777" w:rsidR="00CB5ED9" w:rsidRPr="00EE1C60" w:rsidRDefault="00CB5ED9" w:rsidP="00EE1C60">
            <w:pPr>
              <w:jc w:val="both"/>
              <w:rPr>
                <w:rStyle w:val="cf01"/>
                <w:rFonts w:ascii="Times New Roman" w:hAnsi="Times New Roman" w:cs="Times New Roman"/>
                <w:b/>
                <w:bCs/>
                <w:color w:val="FF0000"/>
                <w:sz w:val="22"/>
                <w:szCs w:val="22"/>
              </w:rPr>
            </w:pPr>
          </w:p>
          <w:p w14:paraId="3B1C096F" w14:textId="77777777" w:rsidR="00CB5ED9" w:rsidRPr="00EE1C60" w:rsidRDefault="00CB5ED9" w:rsidP="00EE1C60">
            <w:pPr>
              <w:jc w:val="both"/>
              <w:rPr>
                <w:rStyle w:val="cf01"/>
                <w:rFonts w:ascii="Times New Roman" w:hAnsi="Times New Roman" w:cs="Times New Roman"/>
                <w:b/>
                <w:bCs/>
                <w:color w:val="FF0000"/>
                <w:sz w:val="22"/>
                <w:szCs w:val="22"/>
              </w:rPr>
            </w:pPr>
          </w:p>
          <w:p w14:paraId="25B71281" w14:textId="77777777" w:rsidR="00CB5ED9" w:rsidRPr="00EE1C60" w:rsidRDefault="00CB5ED9" w:rsidP="00EE1C60">
            <w:pPr>
              <w:jc w:val="both"/>
              <w:rPr>
                <w:rStyle w:val="cf01"/>
                <w:rFonts w:ascii="Times New Roman" w:hAnsi="Times New Roman" w:cs="Times New Roman"/>
                <w:b/>
                <w:bCs/>
                <w:color w:val="FF0000"/>
                <w:sz w:val="22"/>
                <w:szCs w:val="22"/>
              </w:rPr>
            </w:pPr>
          </w:p>
          <w:p w14:paraId="6C3E4AE4" w14:textId="77777777" w:rsidR="00CB5ED9" w:rsidRPr="00EE1C60" w:rsidRDefault="00CB5ED9" w:rsidP="00EE1C60">
            <w:pPr>
              <w:jc w:val="both"/>
              <w:rPr>
                <w:rStyle w:val="cf01"/>
                <w:rFonts w:ascii="Times New Roman" w:hAnsi="Times New Roman" w:cs="Times New Roman"/>
                <w:b/>
                <w:bCs/>
                <w:color w:val="FF0000"/>
                <w:sz w:val="22"/>
                <w:szCs w:val="22"/>
              </w:rPr>
            </w:pPr>
          </w:p>
          <w:p w14:paraId="6C7E07F9" w14:textId="77777777" w:rsidR="000E2F7F" w:rsidRPr="00EE1C60" w:rsidRDefault="000E2F7F" w:rsidP="00EE1C60">
            <w:pPr>
              <w:jc w:val="both"/>
              <w:rPr>
                <w:rStyle w:val="cf01"/>
                <w:rFonts w:ascii="Times New Roman" w:hAnsi="Times New Roman" w:cs="Times New Roman"/>
                <w:b/>
                <w:bCs/>
                <w:color w:val="FF0000"/>
                <w:sz w:val="22"/>
                <w:szCs w:val="22"/>
              </w:rPr>
            </w:pPr>
          </w:p>
          <w:p w14:paraId="60DC7EC7" w14:textId="216AB7D6" w:rsidR="00CB5ED9" w:rsidRPr="00EE1C60" w:rsidRDefault="00CB5ED9"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t xml:space="preserve">W pozostałym zakresie uwaga niezasadna.  </w:t>
            </w:r>
            <w:r w:rsidR="000E2F7F" w:rsidRPr="00EE1C60">
              <w:rPr>
                <w:rStyle w:val="cf01"/>
                <w:rFonts w:ascii="Times New Roman" w:hAnsi="Times New Roman" w:cs="Times New Roman"/>
                <w:sz w:val="22"/>
                <w:szCs w:val="22"/>
              </w:rPr>
              <w:t>Uzasadnienie w zakresie konieczności zdefiniowania</w:t>
            </w:r>
            <w:r w:rsidR="007514FA">
              <w:rPr>
                <w:rStyle w:val="cf01"/>
                <w:rFonts w:ascii="Times New Roman" w:hAnsi="Times New Roman" w:cs="Times New Roman"/>
                <w:sz w:val="22"/>
                <w:szCs w:val="22"/>
              </w:rPr>
              <w:t xml:space="preserve"> </w:t>
            </w:r>
            <w:r w:rsidR="000E2F7F" w:rsidRPr="00EE1C60">
              <w:rPr>
                <w:rStyle w:val="cf01"/>
                <w:rFonts w:ascii="Times New Roman" w:hAnsi="Times New Roman" w:cs="Times New Roman"/>
                <w:sz w:val="22"/>
                <w:szCs w:val="22"/>
              </w:rPr>
              <w:t>tych określeń zostało przedstawione w odniesieniu do uwagi w pkt</w:t>
            </w:r>
            <w:r w:rsidR="007514FA">
              <w:rPr>
                <w:rStyle w:val="cf01"/>
                <w:rFonts w:ascii="Times New Roman" w:hAnsi="Times New Roman" w:cs="Times New Roman"/>
                <w:sz w:val="22"/>
                <w:szCs w:val="22"/>
              </w:rPr>
              <w:t xml:space="preserve"> </w:t>
            </w:r>
            <w:r w:rsidR="009A0263">
              <w:rPr>
                <w:rStyle w:val="cf01"/>
                <w:rFonts w:ascii="Times New Roman" w:hAnsi="Times New Roman" w:cs="Times New Roman"/>
                <w:sz w:val="22"/>
                <w:szCs w:val="22"/>
              </w:rPr>
              <w:t>7</w:t>
            </w:r>
            <w:r w:rsidRPr="00EE1C60">
              <w:rPr>
                <w:rStyle w:val="cf01"/>
                <w:rFonts w:ascii="Times New Roman" w:hAnsi="Times New Roman" w:cs="Times New Roman"/>
                <w:sz w:val="22"/>
                <w:szCs w:val="22"/>
              </w:rPr>
              <w:t>.</w:t>
            </w:r>
            <w:r w:rsidRPr="00EE1C60">
              <w:rPr>
                <w:rStyle w:val="cf01"/>
                <w:rFonts w:ascii="Times New Roman" w:hAnsi="Times New Roman" w:cs="Times New Roman"/>
                <w:b/>
                <w:bCs/>
                <w:sz w:val="22"/>
                <w:szCs w:val="22"/>
              </w:rPr>
              <w:t xml:space="preserve">  </w:t>
            </w:r>
          </w:p>
        </w:tc>
      </w:tr>
      <w:tr w:rsidR="005A43E9" w:rsidRPr="00EE1C60" w14:paraId="6CD22E03" w14:textId="77777777" w:rsidTr="005178F6">
        <w:trPr>
          <w:trHeight w:val="1098"/>
        </w:trPr>
        <w:tc>
          <w:tcPr>
            <w:tcW w:w="830" w:type="dxa"/>
          </w:tcPr>
          <w:p w14:paraId="25001831" w14:textId="37D6AF68" w:rsidR="005A43E9" w:rsidRPr="009A0263" w:rsidRDefault="005A43E9" w:rsidP="009A0263">
            <w:pPr>
              <w:pStyle w:val="Akapitzlist"/>
              <w:numPr>
                <w:ilvl w:val="0"/>
                <w:numId w:val="4"/>
              </w:numPr>
              <w:tabs>
                <w:tab w:val="left" w:pos="360"/>
              </w:tabs>
              <w:jc w:val="center"/>
              <w:rPr>
                <w:rFonts w:cs="Times New Roman"/>
                <w:sz w:val="22"/>
              </w:rPr>
            </w:pPr>
          </w:p>
        </w:tc>
        <w:tc>
          <w:tcPr>
            <w:tcW w:w="1682" w:type="dxa"/>
          </w:tcPr>
          <w:p w14:paraId="0FACDF9A" w14:textId="3D1B6854" w:rsidR="005A43E9" w:rsidRPr="00EE1C60" w:rsidRDefault="005A43E9" w:rsidP="00EE1C60">
            <w:pPr>
              <w:jc w:val="center"/>
              <w:rPr>
                <w:rFonts w:cs="Times New Roman"/>
                <w:sz w:val="22"/>
              </w:rPr>
            </w:pPr>
            <w:r w:rsidRPr="00EE1C60">
              <w:rPr>
                <w:rFonts w:cs="Times New Roman"/>
                <w:sz w:val="22"/>
              </w:rPr>
              <w:t>§ 3</w:t>
            </w:r>
            <w:r w:rsidR="00CD691E" w:rsidRPr="00EE1C60">
              <w:rPr>
                <w:rFonts w:cs="Times New Roman"/>
                <w:sz w:val="22"/>
              </w:rPr>
              <w:t xml:space="preserve"> i uzasadnienie</w:t>
            </w:r>
          </w:p>
        </w:tc>
        <w:tc>
          <w:tcPr>
            <w:tcW w:w="1736" w:type="dxa"/>
          </w:tcPr>
          <w:p w14:paraId="760ADB94" w14:textId="0FA889E0"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44E08E98" w14:textId="0F6161E1" w:rsidR="005A43E9" w:rsidRPr="00EE1C60" w:rsidRDefault="005A43E9" w:rsidP="00EE1C60">
            <w:pPr>
              <w:autoSpaceDE w:val="0"/>
              <w:autoSpaceDN w:val="0"/>
              <w:adjustRightInd w:val="0"/>
              <w:jc w:val="both"/>
              <w:rPr>
                <w:rFonts w:cs="Times New Roman"/>
                <w:sz w:val="22"/>
              </w:rPr>
            </w:pPr>
            <w:r w:rsidRPr="00EE1C60">
              <w:rPr>
                <w:rFonts w:cs="Times New Roman"/>
                <w:sz w:val="22"/>
              </w:rPr>
              <w:t>W § 3 opiniowanego projektu (zbędnie dodano numer 1. jednostki redakcyjnej sugerujący podział tego paragrafu na ustępy) wskazano, że wniesienie pisma następuje przez 6 kolejno opisanych czynności.</w:t>
            </w:r>
            <w:r w:rsidR="00D96EF1" w:rsidRPr="00EE1C60">
              <w:rPr>
                <w:rFonts w:cs="Times New Roman"/>
                <w:sz w:val="22"/>
              </w:rPr>
              <w:t xml:space="preserve"> </w:t>
            </w:r>
            <w:r w:rsidRPr="00EE1C60">
              <w:rPr>
                <w:rFonts w:cs="Times New Roman"/>
                <w:sz w:val="22"/>
              </w:rPr>
              <w:t xml:space="preserve">Jeśli przepis ten ma wskazywać uczestnikowi postępowania kroku po kroku czynności niezbędne do wniesienia pisma za pośrednictwem portalu informacyjnego, to ich wyliczenie należy poprzedzić zdaniem użytym w uzasadnieniu </w:t>
            </w:r>
            <w:r w:rsidRPr="00EE1C60">
              <w:rPr>
                <w:rFonts w:cs="Times New Roman"/>
                <w:sz w:val="22"/>
              </w:rPr>
              <w:lastRenderedPageBreak/>
              <w:t>projektu „W celu wniesienia pisma za pośrednictwem portalu informacyjnego należy:”</w:t>
            </w:r>
          </w:p>
          <w:p w14:paraId="1996A54B" w14:textId="3219BF7F" w:rsidR="005A43E9" w:rsidRPr="00EE1C60" w:rsidRDefault="005A43E9" w:rsidP="00EE1C60">
            <w:pPr>
              <w:autoSpaceDE w:val="0"/>
              <w:autoSpaceDN w:val="0"/>
              <w:adjustRightInd w:val="0"/>
              <w:jc w:val="both"/>
              <w:rPr>
                <w:rFonts w:cs="Times New Roman"/>
                <w:sz w:val="22"/>
              </w:rPr>
            </w:pPr>
            <w:r w:rsidRPr="00EE1C60">
              <w:rPr>
                <w:rFonts w:cs="Times New Roman"/>
                <w:sz w:val="22"/>
              </w:rPr>
              <w:t>W odniesieniu do czynności wskazanej w § 3 pkt 4 tj. umieszczenia treści pisma w module „Biuro Podawcze” nie jest jasne czy projektodawca wskazuje na wpisanie treści wnoszonego pisma w module czy też umieszczenie pisma, tak jak wskazano to w uzasadnieniu projektu.</w:t>
            </w:r>
            <w:r w:rsidR="00D96EF1" w:rsidRPr="00EE1C60">
              <w:rPr>
                <w:rFonts w:cs="Times New Roman"/>
                <w:sz w:val="22"/>
              </w:rPr>
              <w:t xml:space="preserve"> </w:t>
            </w:r>
            <w:r w:rsidRPr="00EE1C60">
              <w:rPr>
                <w:rFonts w:cs="Times New Roman"/>
                <w:sz w:val="22"/>
              </w:rPr>
              <w:t xml:space="preserve">Przepis wymaga poprawki i wskazanie, że chodzi o umieszczenie pisma. Treść innych przepisów wskazuje, że właśnie to jest intencją projektodawcy. Dodatkowo należy wskazać, że projekt dotyczy wnoszenia pism procesowych, a nie ich tworzenia. Wpisanie treści wnoszonego pisma to jego </w:t>
            </w:r>
            <w:r w:rsidR="00FE173E" w:rsidRPr="00EE1C60">
              <w:rPr>
                <w:rFonts w:cs="Times New Roman"/>
                <w:sz w:val="22"/>
              </w:rPr>
              <w:t>sporządzenie</w:t>
            </w:r>
            <w:r w:rsidRPr="00EE1C60">
              <w:rPr>
                <w:rFonts w:cs="Times New Roman"/>
                <w:sz w:val="22"/>
              </w:rPr>
              <w:t xml:space="preserve"> czyli wytworzenie.</w:t>
            </w:r>
          </w:p>
        </w:tc>
        <w:tc>
          <w:tcPr>
            <w:tcW w:w="4624" w:type="dxa"/>
          </w:tcPr>
          <w:p w14:paraId="434FF0B5" w14:textId="7DCCC9F7" w:rsidR="005A43E9" w:rsidRPr="00EE1C60" w:rsidRDefault="009F4C71"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lastRenderedPageBreak/>
              <w:t>Uwag</w:t>
            </w:r>
            <w:r w:rsidR="00CD691E" w:rsidRPr="00EE1C60">
              <w:rPr>
                <w:rStyle w:val="cf01"/>
                <w:rFonts w:ascii="Times New Roman" w:hAnsi="Times New Roman" w:cs="Times New Roman"/>
                <w:b/>
                <w:bCs/>
                <w:sz w:val="22"/>
                <w:szCs w:val="22"/>
              </w:rPr>
              <w:t>a</w:t>
            </w:r>
            <w:r w:rsidRPr="00EE1C60">
              <w:rPr>
                <w:rStyle w:val="cf01"/>
                <w:rFonts w:ascii="Times New Roman" w:hAnsi="Times New Roman" w:cs="Times New Roman"/>
                <w:b/>
                <w:bCs/>
                <w:sz w:val="22"/>
                <w:szCs w:val="22"/>
              </w:rPr>
              <w:t xml:space="preserve"> </w:t>
            </w:r>
            <w:r w:rsidR="00CD691E" w:rsidRPr="00EE1C60">
              <w:rPr>
                <w:rStyle w:val="cf01"/>
                <w:rFonts w:ascii="Times New Roman" w:hAnsi="Times New Roman" w:cs="Times New Roman"/>
                <w:b/>
                <w:bCs/>
                <w:sz w:val="22"/>
                <w:szCs w:val="22"/>
              </w:rPr>
              <w:t>uwzględniona</w:t>
            </w:r>
            <w:r w:rsidRPr="00EE1C60">
              <w:rPr>
                <w:rStyle w:val="cf01"/>
                <w:rFonts w:ascii="Times New Roman" w:hAnsi="Times New Roman" w:cs="Times New Roman"/>
                <w:b/>
                <w:bCs/>
                <w:sz w:val="22"/>
                <w:szCs w:val="22"/>
              </w:rPr>
              <w:t xml:space="preserve">. </w:t>
            </w:r>
          </w:p>
        </w:tc>
      </w:tr>
      <w:tr w:rsidR="005A43E9" w:rsidRPr="00EE1C60" w14:paraId="7A572A55" w14:textId="77777777" w:rsidTr="005178F6">
        <w:trPr>
          <w:trHeight w:val="1098"/>
        </w:trPr>
        <w:tc>
          <w:tcPr>
            <w:tcW w:w="830" w:type="dxa"/>
          </w:tcPr>
          <w:p w14:paraId="15980B63" w14:textId="248E8447" w:rsidR="005A43E9" w:rsidRPr="009A0263" w:rsidRDefault="005A43E9" w:rsidP="009A0263">
            <w:pPr>
              <w:pStyle w:val="Akapitzlist"/>
              <w:numPr>
                <w:ilvl w:val="0"/>
                <w:numId w:val="4"/>
              </w:numPr>
              <w:tabs>
                <w:tab w:val="left" w:pos="360"/>
              </w:tabs>
              <w:jc w:val="center"/>
              <w:rPr>
                <w:rFonts w:cs="Times New Roman"/>
                <w:sz w:val="22"/>
              </w:rPr>
            </w:pPr>
          </w:p>
        </w:tc>
        <w:tc>
          <w:tcPr>
            <w:tcW w:w="1682" w:type="dxa"/>
          </w:tcPr>
          <w:p w14:paraId="04F97FD4" w14:textId="121C749A" w:rsidR="005A43E9" w:rsidRPr="00EE1C60" w:rsidRDefault="005A43E9" w:rsidP="00EE1C60">
            <w:pPr>
              <w:jc w:val="center"/>
              <w:rPr>
                <w:rFonts w:cs="Times New Roman"/>
                <w:sz w:val="22"/>
              </w:rPr>
            </w:pPr>
            <w:r w:rsidRPr="00EE1C60">
              <w:rPr>
                <w:rFonts w:cs="Times New Roman"/>
                <w:sz w:val="22"/>
              </w:rPr>
              <w:t>§ 3 pkt 6</w:t>
            </w:r>
          </w:p>
        </w:tc>
        <w:tc>
          <w:tcPr>
            <w:tcW w:w="1736" w:type="dxa"/>
          </w:tcPr>
          <w:p w14:paraId="72A99798" w14:textId="56C484FB"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3E79CD8E" w14:textId="77777777" w:rsidR="005A43E9" w:rsidRPr="00EE1C60" w:rsidRDefault="005A43E9" w:rsidP="00EE1C60">
            <w:pPr>
              <w:autoSpaceDE w:val="0"/>
              <w:autoSpaceDN w:val="0"/>
              <w:adjustRightInd w:val="0"/>
              <w:jc w:val="both"/>
              <w:rPr>
                <w:rFonts w:cs="Times New Roman"/>
                <w:sz w:val="22"/>
              </w:rPr>
            </w:pPr>
            <w:r w:rsidRPr="00EE1C60">
              <w:rPr>
                <w:rFonts w:cs="Times New Roman"/>
                <w:sz w:val="22"/>
              </w:rPr>
              <w:t>W odniesieniu do czynności wskazanej w § 3 pkt 6 tj. opatrzenia podpisem pisma i załączników, w zakresie w jakim dotyczy prokuratora niezbędna jest zmiana redakcyjna, gdyż obecne brzmienie może sugerować, że prokurator zobowiązany jest do złożenia dwóch podpisów. Pierwszego: kwalifikowanego podpisu elektronicznego albo podpisu zaufanego albo podpisu osobistego, a drugiego: zaawansowanego podpisu elektronicznego wydawanego przez właściwe jednostki organizacyjne prokuratury. Czynność ta powinna być opisana w sposób zgodny z brzmieniem art. 119 § 3 k.p.k. – dodanego ustawą z dnia 9 lipca 2025 r. o zmianie ustawy – Kodeks postępowania karnego oraz niektórych innych ustaw – w którym wyrazy „prokuratora” i „także” oddzielono myślnikiem usuwającym sugestię, że prokurator może być zobowiązany do złożenia dwóch rodzajów podpisu.</w:t>
            </w:r>
          </w:p>
          <w:p w14:paraId="6F29892B" w14:textId="61CF9E8B" w:rsidR="00CD691E" w:rsidRPr="00EE1C60" w:rsidRDefault="00CD691E" w:rsidP="00EE1C60">
            <w:pPr>
              <w:autoSpaceDE w:val="0"/>
              <w:autoSpaceDN w:val="0"/>
              <w:adjustRightInd w:val="0"/>
              <w:jc w:val="both"/>
              <w:rPr>
                <w:rFonts w:cs="Times New Roman"/>
                <w:sz w:val="22"/>
              </w:rPr>
            </w:pPr>
            <w:r w:rsidRPr="00EE1C60">
              <w:rPr>
                <w:rFonts w:cs="Times New Roman"/>
                <w:sz w:val="22"/>
              </w:rPr>
              <w:t xml:space="preserve">Zauważyć należy, że w trakcie prac legislacyjnych nad projektem ustawy o zmianie ustawy – Kodeks postępowania karnego oraz niektórych innych ustaw </w:t>
            </w:r>
            <w:r w:rsidRPr="00EE1C60">
              <w:rPr>
                <w:rFonts w:cs="Times New Roman"/>
                <w:sz w:val="22"/>
              </w:rPr>
              <w:lastRenderedPageBreak/>
              <w:t>UD143 dostrzeżono podnoszoną niejednoznaczność o czym przekonuje porównanie treści projektu ustawy udostępnionego do konsultacji i opiniowania w zakresie dotyczącym brzmienia dodawanego do art. 119 k.p.k. § 3 z treścią projektu złożonego Marszałkowi Sejmu RP oraz treścią uchwalonej i ogłoszonej ustawy.</w:t>
            </w:r>
          </w:p>
        </w:tc>
        <w:tc>
          <w:tcPr>
            <w:tcW w:w="4624" w:type="dxa"/>
          </w:tcPr>
          <w:p w14:paraId="278026A4" w14:textId="1F815C55" w:rsidR="005A43E9" w:rsidRPr="00EE1C60" w:rsidRDefault="00CD691E"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b/>
                <w:bCs/>
                <w:sz w:val="22"/>
                <w:szCs w:val="22"/>
              </w:rPr>
              <w:lastRenderedPageBreak/>
              <w:t>Uwaga uwzględniona.</w:t>
            </w:r>
          </w:p>
        </w:tc>
      </w:tr>
      <w:tr w:rsidR="000A6802" w:rsidRPr="00EE1C60" w14:paraId="07907377" w14:textId="77777777" w:rsidTr="005178F6">
        <w:trPr>
          <w:trHeight w:val="1098"/>
        </w:trPr>
        <w:tc>
          <w:tcPr>
            <w:tcW w:w="830" w:type="dxa"/>
          </w:tcPr>
          <w:p w14:paraId="7BF3269F" w14:textId="77777777" w:rsidR="000A6802" w:rsidRPr="009A0263" w:rsidRDefault="000A6802" w:rsidP="009A0263">
            <w:pPr>
              <w:pStyle w:val="Akapitzlist"/>
              <w:numPr>
                <w:ilvl w:val="0"/>
                <w:numId w:val="4"/>
              </w:numPr>
              <w:tabs>
                <w:tab w:val="left" w:pos="360"/>
              </w:tabs>
              <w:jc w:val="center"/>
              <w:rPr>
                <w:rFonts w:cs="Times New Roman"/>
                <w:sz w:val="22"/>
              </w:rPr>
            </w:pPr>
          </w:p>
        </w:tc>
        <w:tc>
          <w:tcPr>
            <w:tcW w:w="1682" w:type="dxa"/>
          </w:tcPr>
          <w:p w14:paraId="3A1DA0EA" w14:textId="612B6814" w:rsidR="000A6802" w:rsidRPr="00EE1C60" w:rsidRDefault="000A6802" w:rsidP="00EE1C60">
            <w:pPr>
              <w:jc w:val="center"/>
              <w:rPr>
                <w:rFonts w:cs="Times New Roman"/>
                <w:sz w:val="22"/>
              </w:rPr>
            </w:pPr>
            <w:r w:rsidRPr="00EE1C60">
              <w:rPr>
                <w:rFonts w:cs="Times New Roman"/>
                <w:sz w:val="22"/>
              </w:rPr>
              <w:t>§ 3</w:t>
            </w:r>
          </w:p>
        </w:tc>
        <w:tc>
          <w:tcPr>
            <w:tcW w:w="1736" w:type="dxa"/>
          </w:tcPr>
          <w:p w14:paraId="1DB3144A" w14:textId="3737BED6" w:rsidR="000A6802" w:rsidRPr="00EE1C60" w:rsidRDefault="000A6802" w:rsidP="00EE1C60">
            <w:pPr>
              <w:rPr>
                <w:rFonts w:cs="Times New Roman"/>
                <w:sz w:val="22"/>
              </w:rPr>
            </w:pPr>
            <w:r w:rsidRPr="00EE1C60">
              <w:rPr>
                <w:rFonts w:cs="Times New Roman"/>
                <w:sz w:val="22"/>
              </w:rPr>
              <w:t>Prokuratura Regionalna w Lublinie</w:t>
            </w:r>
          </w:p>
        </w:tc>
        <w:tc>
          <w:tcPr>
            <w:tcW w:w="5437" w:type="dxa"/>
          </w:tcPr>
          <w:p w14:paraId="2E3A8024" w14:textId="77777777" w:rsidR="000A6802" w:rsidRPr="00EE1C60" w:rsidRDefault="000A6802" w:rsidP="00EE1C60">
            <w:pPr>
              <w:autoSpaceDE w:val="0"/>
              <w:autoSpaceDN w:val="0"/>
              <w:adjustRightInd w:val="0"/>
              <w:jc w:val="both"/>
              <w:rPr>
                <w:rFonts w:cs="Times New Roman"/>
                <w:sz w:val="22"/>
              </w:rPr>
            </w:pPr>
            <w:r w:rsidRPr="00EE1C60">
              <w:rPr>
                <w:rFonts w:cs="Times New Roman"/>
                <w:sz w:val="22"/>
              </w:rPr>
              <w:t xml:space="preserve">Należy podnieść, że projektowany § 3 rozporządzenia wymaga uzupełnienia o punkt 7 dotyczący wywołania funkcji „złóż pismo” w module „Biuro Podawcze”. </w:t>
            </w:r>
          </w:p>
          <w:p w14:paraId="7A1E2835" w14:textId="1552BA46" w:rsidR="000A6802" w:rsidRPr="00EE1C60" w:rsidRDefault="000A6802" w:rsidP="00EE1C60">
            <w:pPr>
              <w:autoSpaceDE w:val="0"/>
              <w:autoSpaceDN w:val="0"/>
              <w:adjustRightInd w:val="0"/>
              <w:jc w:val="both"/>
              <w:rPr>
                <w:rFonts w:cs="Times New Roman"/>
                <w:sz w:val="22"/>
              </w:rPr>
            </w:pPr>
            <w:r w:rsidRPr="00EE1C60">
              <w:rPr>
                <w:rFonts w:cs="Times New Roman"/>
                <w:sz w:val="22"/>
              </w:rPr>
              <w:t>O takiej konieczności przekonuje treść definicji wniesienia pisma z § 2 pkt 6 projektu. Skoro wniesienie pisma następuje poprzez wywołanie tej funkcji, to taką czynność należy uznać za niezbędną i wyraźnie wskazać w przepisie określającym procedurę.</w:t>
            </w:r>
          </w:p>
        </w:tc>
        <w:tc>
          <w:tcPr>
            <w:tcW w:w="4624" w:type="dxa"/>
          </w:tcPr>
          <w:p w14:paraId="71F96479" w14:textId="750F80AD" w:rsidR="000A6802" w:rsidRPr="00EE1C60" w:rsidRDefault="000A6802"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p>
        </w:tc>
      </w:tr>
      <w:tr w:rsidR="00D34281" w:rsidRPr="00EE1C60" w14:paraId="029B2B06" w14:textId="77777777" w:rsidTr="005178F6">
        <w:trPr>
          <w:trHeight w:val="1098"/>
        </w:trPr>
        <w:tc>
          <w:tcPr>
            <w:tcW w:w="830" w:type="dxa"/>
          </w:tcPr>
          <w:p w14:paraId="7A6DA679" w14:textId="0D30DA45" w:rsidR="00D34281" w:rsidRPr="009A0263" w:rsidRDefault="00D34281" w:rsidP="009A0263">
            <w:pPr>
              <w:pStyle w:val="Akapitzlist"/>
              <w:numPr>
                <w:ilvl w:val="0"/>
                <w:numId w:val="4"/>
              </w:numPr>
              <w:tabs>
                <w:tab w:val="left" w:pos="360"/>
              </w:tabs>
              <w:jc w:val="center"/>
              <w:rPr>
                <w:rFonts w:cs="Times New Roman"/>
                <w:sz w:val="22"/>
              </w:rPr>
            </w:pPr>
          </w:p>
        </w:tc>
        <w:tc>
          <w:tcPr>
            <w:tcW w:w="1682" w:type="dxa"/>
          </w:tcPr>
          <w:p w14:paraId="5B98727B" w14:textId="16FFFD98" w:rsidR="00D34281" w:rsidRPr="00EE1C60" w:rsidRDefault="00882742" w:rsidP="00EE1C60">
            <w:pPr>
              <w:jc w:val="center"/>
              <w:rPr>
                <w:rFonts w:cs="Times New Roman"/>
                <w:sz w:val="22"/>
              </w:rPr>
            </w:pPr>
            <w:r w:rsidRPr="00EE1C60">
              <w:rPr>
                <w:rFonts w:cs="Times New Roman"/>
                <w:sz w:val="22"/>
              </w:rPr>
              <w:t>O</w:t>
            </w:r>
            <w:r w:rsidR="007E4B02" w:rsidRPr="00EE1C60">
              <w:rPr>
                <w:rFonts w:cs="Times New Roman"/>
                <w:sz w:val="22"/>
              </w:rPr>
              <w:t>gólna</w:t>
            </w:r>
          </w:p>
        </w:tc>
        <w:tc>
          <w:tcPr>
            <w:tcW w:w="1736" w:type="dxa"/>
          </w:tcPr>
          <w:p w14:paraId="026CC2B6" w14:textId="02E3247A" w:rsidR="00D34281" w:rsidRPr="00EE1C60" w:rsidRDefault="00D34281" w:rsidP="00EE1C60">
            <w:pPr>
              <w:rPr>
                <w:rFonts w:cs="Times New Roman"/>
                <w:sz w:val="22"/>
              </w:rPr>
            </w:pPr>
            <w:r w:rsidRPr="00EE1C60">
              <w:rPr>
                <w:rFonts w:cs="Times New Roman"/>
                <w:sz w:val="22"/>
              </w:rPr>
              <w:t>Prokuratura Regionalna w Lublinie</w:t>
            </w:r>
          </w:p>
        </w:tc>
        <w:tc>
          <w:tcPr>
            <w:tcW w:w="5437" w:type="dxa"/>
          </w:tcPr>
          <w:p w14:paraId="5D1AFB22" w14:textId="79B6C1DF" w:rsidR="00D34281" w:rsidRPr="00EE1C60" w:rsidRDefault="00D34281" w:rsidP="00EE1C60">
            <w:pPr>
              <w:autoSpaceDE w:val="0"/>
              <w:autoSpaceDN w:val="0"/>
              <w:adjustRightInd w:val="0"/>
              <w:jc w:val="both"/>
              <w:rPr>
                <w:rFonts w:cs="Times New Roman"/>
                <w:sz w:val="22"/>
              </w:rPr>
            </w:pPr>
            <w:r w:rsidRPr="00EE1C60">
              <w:rPr>
                <w:rFonts w:cs="Times New Roman"/>
                <w:sz w:val="22"/>
              </w:rPr>
              <w:t>Zauważyć należy, że zgodnie z treścią art. 119 § 4 k.p.k. ustawodawca określając upoważnienie do wydania opiniowanego rozporządzenia wskazując okoliczności, jakie należy uwzględnić przy określaniu trybu i sposobu wnoszenia pism procesowych w postaci elektronicznej, przywołał kwestię ochrony praw osób wnoszących pisma.</w:t>
            </w:r>
            <w:r w:rsidR="002D22A2" w:rsidRPr="00EE1C60">
              <w:rPr>
                <w:rFonts w:cs="Times New Roman"/>
                <w:sz w:val="22"/>
              </w:rPr>
              <w:t xml:space="preserve"> </w:t>
            </w:r>
            <w:r w:rsidRPr="00EE1C60">
              <w:rPr>
                <w:rFonts w:cs="Times New Roman"/>
                <w:sz w:val="22"/>
              </w:rPr>
              <w:t>Przepisy art. 116a § 1 k.p.k. w zw. z art. 422 § 1b k.p.k. i art. 428 § 3 k.p.k. od 1 marca 2026 r. będą dopuszczały złożenie w postaci elektronicznej za pośrednictwem portalu informacyjnego: wniosku o sporządzenie pisemnego uzasadnienia wyroku, środka odwoławczego, a także odpowiedzi na środek odwoławczy oraz dalsze pisma w toku postępowania odwoławczego.</w:t>
            </w:r>
            <w:r w:rsidR="002D22A2" w:rsidRPr="00EE1C60">
              <w:rPr>
                <w:rFonts w:cs="Times New Roman"/>
                <w:sz w:val="22"/>
              </w:rPr>
              <w:t xml:space="preserve"> </w:t>
            </w:r>
            <w:r w:rsidRPr="00EE1C60">
              <w:rPr>
                <w:rFonts w:cs="Times New Roman"/>
                <w:sz w:val="22"/>
              </w:rPr>
              <w:t>Skuteczność czynności złożenia wniosku o sporządzenie pisemnego uzasadnienia wyroku oraz środka odwoławczego uzależniona jest od zachowania terminu zawitego.</w:t>
            </w:r>
          </w:p>
          <w:p w14:paraId="6F212407" w14:textId="77777777" w:rsidR="00D34281" w:rsidRPr="00EE1C60" w:rsidRDefault="00D34281" w:rsidP="00EE1C60">
            <w:pPr>
              <w:autoSpaceDE w:val="0"/>
              <w:autoSpaceDN w:val="0"/>
              <w:adjustRightInd w:val="0"/>
              <w:jc w:val="both"/>
              <w:rPr>
                <w:rFonts w:cs="Times New Roman"/>
                <w:sz w:val="22"/>
              </w:rPr>
            </w:pPr>
            <w:r w:rsidRPr="00EE1C60">
              <w:rPr>
                <w:rFonts w:cs="Times New Roman"/>
                <w:sz w:val="22"/>
              </w:rPr>
              <w:t xml:space="preserve">W rozporządzeniu nie określono żadnych zasad informowania użytkowników portalu o ograniczeniach jego </w:t>
            </w:r>
            <w:r w:rsidRPr="00EE1C60">
              <w:rPr>
                <w:rFonts w:cs="Times New Roman"/>
                <w:sz w:val="22"/>
              </w:rPr>
              <w:lastRenderedPageBreak/>
              <w:t>dostępności, co umożliwiałoby im ocenę potencjalnego ryzyka niedochowania terminu zawitego z uwagi na ograniczenia w dostępności portalu informacyjnego, a w konsekwencji złożenia pism procesowych tego rodzaju w tradycyjnym trybie.</w:t>
            </w:r>
          </w:p>
          <w:p w14:paraId="2176746B" w14:textId="66E47CE8" w:rsidR="00D34281" w:rsidRPr="00EE1C60" w:rsidRDefault="00D34281" w:rsidP="00EE1C60">
            <w:pPr>
              <w:autoSpaceDE w:val="0"/>
              <w:autoSpaceDN w:val="0"/>
              <w:adjustRightInd w:val="0"/>
              <w:jc w:val="both"/>
              <w:rPr>
                <w:rFonts w:cs="Times New Roman"/>
                <w:sz w:val="22"/>
              </w:rPr>
            </w:pPr>
            <w:r w:rsidRPr="00EE1C60">
              <w:rPr>
                <w:rFonts w:cs="Times New Roman"/>
                <w:sz w:val="22"/>
              </w:rPr>
              <w:t>Dlatego mając na względzie ochronę praw osób wnoszących pisma w postaci elektronicznej za pośrednictwem portalu niezbędne jest dodanie przepisu  zobowiązującego podmiot utrzymujący portalu informacyjnego do informowania jego użytkowników o ograniczeniach dostępności portalu informacyjnego mogących mieć wpływ na dotrzymanie terminów czynności procesowych.</w:t>
            </w:r>
          </w:p>
        </w:tc>
        <w:tc>
          <w:tcPr>
            <w:tcW w:w="4624" w:type="dxa"/>
          </w:tcPr>
          <w:p w14:paraId="1C3CB2D9" w14:textId="77777777" w:rsidR="00D34281" w:rsidRPr="00EE1C60" w:rsidRDefault="00A86AB3" w:rsidP="00EE1C60">
            <w:pPr>
              <w:jc w:val="both"/>
              <w:rPr>
                <w:rFonts w:cs="Times New Roman"/>
                <w:b/>
                <w:bCs/>
                <w:sz w:val="22"/>
              </w:rPr>
            </w:pPr>
            <w:r w:rsidRPr="00EE1C60">
              <w:rPr>
                <w:rFonts w:cs="Times New Roman"/>
                <w:b/>
                <w:bCs/>
                <w:sz w:val="22"/>
              </w:rPr>
              <w:lastRenderedPageBreak/>
              <w:t>Uwaga ni</w:t>
            </w:r>
            <w:r w:rsidR="000A6802" w:rsidRPr="00EE1C60">
              <w:rPr>
                <w:rFonts w:cs="Times New Roman"/>
                <w:b/>
                <w:bCs/>
                <w:sz w:val="22"/>
              </w:rPr>
              <w:t>euwzględniona</w:t>
            </w:r>
            <w:r w:rsidRPr="00EE1C60">
              <w:rPr>
                <w:rFonts w:cs="Times New Roman"/>
                <w:b/>
                <w:bCs/>
                <w:sz w:val="22"/>
              </w:rPr>
              <w:t xml:space="preserve">. </w:t>
            </w:r>
          </w:p>
          <w:p w14:paraId="5D4A7F20" w14:textId="77777777" w:rsidR="000A6802" w:rsidRPr="00EE1C60" w:rsidRDefault="000A6802" w:rsidP="00EE1C60">
            <w:pPr>
              <w:jc w:val="both"/>
              <w:rPr>
                <w:rFonts w:eastAsia="Aptos" w:cs="Times New Roman"/>
                <w:kern w:val="2"/>
                <w:sz w:val="22"/>
                <w14:ligatures w14:val="standardContextual"/>
              </w:rPr>
            </w:pPr>
            <w:r w:rsidRPr="00EE1C60">
              <w:rPr>
                <w:rFonts w:eastAsia="Aptos" w:cs="Times New Roman"/>
                <w:kern w:val="2"/>
                <w:sz w:val="22"/>
                <w14:ligatures w14:val="standardContextual"/>
              </w:rPr>
              <w:t>W postępowaniu karnym jest fakultatywna możliwość składania pism, a nie obligatoryjna. Nadto, w przypadku gdy z powodu ograniczeń będzie uniemożliwiony dostęp do portalu informacyjnego, wówczas służy prawo do złożenia wniosku o przywrócenie terminu. Na marginesie należy zauważyć, że portal informacyjny obsługuje zarówno postępowanie karne, jak i cywilne. W cywilnym postępowaniu z uwagi na przewidzianą obligatoryjność wnoszenia pism za pośrednictwem portalu przez wskazane w k.p.c. podmioty, zaistniała konieczność na stworzenie mechanizmów związanych z postępowaniem w przypadku niedostępności portalu informacyjnego.</w:t>
            </w:r>
          </w:p>
          <w:p w14:paraId="585CFE78" w14:textId="46B034C3" w:rsidR="000A6802" w:rsidRPr="00EE1C60" w:rsidRDefault="000A6802" w:rsidP="00EE1C60">
            <w:pPr>
              <w:jc w:val="both"/>
              <w:rPr>
                <w:rStyle w:val="cf01"/>
                <w:rFonts w:ascii="Times New Roman" w:hAnsi="Times New Roman" w:cs="Times New Roman"/>
                <w:b/>
                <w:bCs/>
                <w:sz w:val="22"/>
                <w:szCs w:val="22"/>
              </w:rPr>
            </w:pPr>
          </w:p>
        </w:tc>
      </w:tr>
      <w:tr w:rsidR="005040B7" w:rsidRPr="00EE1C60" w14:paraId="271680DE" w14:textId="77777777" w:rsidTr="005178F6">
        <w:trPr>
          <w:trHeight w:val="1098"/>
        </w:trPr>
        <w:tc>
          <w:tcPr>
            <w:tcW w:w="830" w:type="dxa"/>
          </w:tcPr>
          <w:p w14:paraId="7F9EF56D" w14:textId="46FEBCBC" w:rsidR="005040B7" w:rsidRPr="009A0263" w:rsidRDefault="005040B7" w:rsidP="009A0263">
            <w:pPr>
              <w:pStyle w:val="Akapitzlist"/>
              <w:numPr>
                <w:ilvl w:val="0"/>
                <w:numId w:val="4"/>
              </w:numPr>
              <w:tabs>
                <w:tab w:val="left" w:pos="360"/>
              </w:tabs>
              <w:jc w:val="center"/>
              <w:rPr>
                <w:rFonts w:cs="Times New Roman"/>
                <w:sz w:val="22"/>
              </w:rPr>
            </w:pPr>
          </w:p>
        </w:tc>
        <w:tc>
          <w:tcPr>
            <w:tcW w:w="1682" w:type="dxa"/>
          </w:tcPr>
          <w:p w14:paraId="103A4C2A" w14:textId="75DC30E5" w:rsidR="005040B7" w:rsidRPr="00EE1C60" w:rsidRDefault="005040B7" w:rsidP="00EE1C60">
            <w:pPr>
              <w:jc w:val="center"/>
              <w:rPr>
                <w:rFonts w:cs="Times New Roman"/>
                <w:sz w:val="22"/>
              </w:rPr>
            </w:pPr>
            <w:r w:rsidRPr="00EE1C60">
              <w:rPr>
                <w:rFonts w:cs="Times New Roman"/>
                <w:sz w:val="22"/>
              </w:rPr>
              <w:t>Tytuł projektu</w:t>
            </w:r>
          </w:p>
        </w:tc>
        <w:tc>
          <w:tcPr>
            <w:tcW w:w="1736" w:type="dxa"/>
          </w:tcPr>
          <w:p w14:paraId="27889A96" w14:textId="37C18841" w:rsidR="005040B7" w:rsidRPr="00EE1C60" w:rsidRDefault="005040B7" w:rsidP="00EE1C60">
            <w:pPr>
              <w:rPr>
                <w:rFonts w:cs="Times New Roman"/>
                <w:sz w:val="22"/>
              </w:rPr>
            </w:pPr>
            <w:r w:rsidRPr="00EE1C60">
              <w:rPr>
                <w:rFonts w:cs="Times New Roman"/>
                <w:sz w:val="22"/>
              </w:rPr>
              <w:t>Sąd Apelacyjny w Rzeszowie</w:t>
            </w:r>
          </w:p>
        </w:tc>
        <w:tc>
          <w:tcPr>
            <w:tcW w:w="5437" w:type="dxa"/>
          </w:tcPr>
          <w:p w14:paraId="3E9F303A" w14:textId="23786499" w:rsidR="005040B7" w:rsidRPr="00EE1C60" w:rsidRDefault="00831AFB" w:rsidP="00EE1C60">
            <w:pPr>
              <w:autoSpaceDE w:val="0"/>
              <w:autoSpaceDN w:val="0"/>
              <w:adjustRightInd w:val="0"/>
              <w:jc w:val="both"/>
              <w:rPr>
                <w:rFonts w:cs="Times New Roman"/>
                <w:sz w:val="22"/>
              </w:rPr>
            </w:pPr>
            <w:r w:rsidRPr="00EE1C60">
              <w:rPr>
                <w:rFonts w:cs="Times New Roman"/>
                <w:sz w:val="22"/>
              </w:rPr>
              <w:t>D</w:t>
            </w:r>
            <w:r w:rsidR="005040B7" w:rsidRPr="00EE1C60">
              <w:rPr>
                <w:rFonts w:cs="Times New Roman"/>
                <w:sz w:val="22"/>
              </w:rPr>
              <w:t>oprecyzowani</w:t>
            </w:r>
            <w:r w:rsidR="00896474" w:rsidRPr="00EE1C60">
              <w:rPr>
                <w:rFonts w:cs="Times New Roman"/>
                <w:sz w:val="22"/>
              </w:rPr>
              <w:t>e</w:t>
            </w:r>
            <w:r w:rsidR="005040B7" w:rsidRPr="00EE1C60">
              <w:rPr>
                <w:rFonts w:cs="Times New Roman"/>
                <w:sz w:val="22"/>
              </w:rPr>
              <w:t xml:space="preserve"> tytułu rozporządzenia poprzez wskazanie „w postępowaniu karnym”</w:t>
            </w:r>
            <w:r w:rsidRPr="00EE1C60">
              <w:rPr>
                <w:rFonts w:cs="Times New Roman"/>
                <w:sz w:val="22"/>
              </w:rPr>
              <w:t>.</w:t>
            </w:r>
          </w:p>
        </w:tc>
        <w:tc>
          <w:tcPr>
            <w:tcW w:w="4624" w:type="dxa"/>
          </w:tcPr>
          <w:p w14:paraId="7C0A02B3" w14:textId="1EDD1B98" w:rsidR="005040B7" w:rsidRPr="00EE1C60" w:rsidRDefault="005040B7"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r w:rsidR="00831AFB" w:rsidRPr="00EE1C60">
              <w:rPr>
                <w:rStyle w:val="cf01"/>
                <w:rFonts w:ascii="Times New Roman" w:hAnsi="Times New Roman" w:cs="Times New Roman"/>
                <w:b/>
                <w:bCs/>
                <w:sz w:val="22"/>
                <w:szCs w:val="22"/>
              </w:rPr>
              <w:t>.</w:t>
            </w:r>
          </w:p>
        </w:tc>
      </w:tr>
      <w:tr w:rsidR="005040B7" w:rsidRPr="00EE1C60" w14:paraId="4695633B" w14:textId="77777777" w:rsidTr="005178F6">
        <w:trPr>
          <w:trHeight w:val="1098"/>
        </w:trPr>
        <w:tc>
          <w:tcPr>
            <w:tcW w:w="830" w:type="dxa"/>
          </w:tcPr>
          <w:p w14:paraId="22DC4CD8" w14:textId="780253F6" w:rsidR="005040B7" w:rsidRPr="009A0263" w:rsidRDefault="005040B7" w:rsidP="009A0263">
            <w:pPr>
              <w:pStyle w:val="Akapitzlist"/>
              <w:numPr>
                <w:ilvl w:val="0"/>
                <w:numId w:val="4"/>
              </w:numPr>
              <w:tabs>
                <w:tab w:val="left" w:pos="360"/>
              </w:tabs>
              <w:jc w:val="center"/>
              <w:rPr>
                <w:rFonts w:cs="Times New Roman"/>
                <w:sz w:val="22"/>
              </w:rPr>
            </w:pPr>
          </w:p>
        </w:tc>
        <w:tc>
          <w:tcPr>
            <w:tcW w:w="1682" w:type="dxa"/>
          </w:tcPr>
          <w:p w14:paraId="787CC445" w14:textId="2705FA64" w:rsidR="005040B7" w:rsidRPr="00EE1C60" w:rsidRDefault="005040B7" w:rsidP="00EE1C60">
            <w:pPr>
              <w:jc w:val="center"/>
              <w:rPr>
                <w:rFonts w:cs="Times New Roman"/>
                <w:sz w:val="22"/>
              </w:rPr>
            </w:pPr>
            <w:r w:rsidRPr="00EE1C60">
              <w:rPr>
                <w:rFonts w:cs="Times New Roman"/>
                <w:sz w:val="22"/>
              </w:rPr>
              <w:t>Załącznik nr 2</w:t>
            </w:r>
          </w:p>
        </w:tc>
        <w:tc>
          <w:tcPr>
            <w:tcW w:w="1736" w:type="dxa"/>
          </w:tcPr>
          <w:p w14:paraId="6582880B" w14:textId="4AE1CF92" w:rsidR="005040B7" w:rsidRPr="00EE1C60" w:rsidRDefault="005040B7" w:rsidP="00EE1C60">
            <w:pPr>
              <w:rPr>
                <w:rFonts w:cs="Times New Roman"/>
                <w:sz w:val="22"/>
              </w:rPr>
            </w:pPr>
            <w:r w:rsidRPr="00EE1C60">
              <w:rPr>
                <w:rFonts w:cs="Times New Roman"/>
                <w:sz w:val="22"/>
              </w:rPr>
              <w:t>Sąd Apelacyjny w Rzeszowie</w:t>
            </w:r>
          </w:p>
        </w:tc>
        <w:tc>
          <w:tcPr>
            <w:tcW w:w="5437" w:type="dxa"/>
          </w:tcPr>
          <w:p w14:paraId="6D45642F" w14:textId="7F87A666" w:rsidR="005040B7" w:rsidRPr="00EE1C60" w:rsidRDefault="007E4B02" w:rsidP="00EE1C60">
            <w:pPr>
              <w:autoSpaceDE w:val="0"/>
              <w:autoSpaceDN w:val="0"/>
              <w:adjustRightInd w:val="0"/>
              <w:jc w:val="both"/>
              <w:rPr>
                <w:rFonts w:cs="Times New Roman"/>
                <w:sz w:val="22"/>
              </w:rPr>
            </w:pPr>
            <w:r w:rsidRPr="00EE1C60">
              <w:rPr>
                <w:rFonts w:cs="Times New Roman"/>
                <w:sz w:val="22"/>
              </w:rPr>
              <w:t>Uwaga dot</w:t>
            </w:r>
            <w:r w:rsidR="00831AFB" w:rsidRPr="00EE1C60">
              <w:rPr>
                <w:rFonts w:cs="Times New Roman"/>
                <w:sz w:val="22"/>
              </w:rPr>
              <w:t>ycząca</w:t>
            </w:r>
            <w:r w:rsidRPr="00EE1C60">
              <w:rPr>
                <w:rFonts w:cs="Times New Roman"/>
                <w:sz w:val="22"/>
              </w:rPr>
              <w:t xml:space="preserve"> </w:t>
            </w:r>
            <w:r w:rsidR="005040B7" w:rsidRPr="00EE1C60">
              <w:rPr>
                <w:rFonts w:cs="Times New Roman"/>
                <w:sz w:val="22"/>
              </w:rPr>
              <w:t>omyłek pisarskich w załączniku nr 2 pt.: „Wymagania</w:t>
            </w:r>
            <w:r w:rsidRPr="00EE1C60">
              <w:rPr>
                <w:rFonts w:cs="Times New Roman"/>
                <w:sz w:val="22"/>
              </w:rPr>
              <w:t xml:space="preserve"> </w:t>
            </w:r>
            <w:r w:rsidR="005040B7" w:rsidRPr="00EE1C60">
              <w:rPr>
                <w:rFonts w:cs="Times New Roman"/>
                <w:sz w:val="22"/>
              </w:rPr>
              <w:t>techniczne dla struktury i nazewnictwa plików”:</w:t>
            </w:r>
          </w:p>
          <w:p w14:paraId="1A214C8C" w14:textId="77777777" w:rsidR="005040B7" w:rsidRPr="00EE1C60" w:rsidRDefault="005040B7" w:rsidP="00EE1C60">
            <w:pPr>
              <w:autoSpaceDE w:val="0"/>
              <w:autoSpaceDN w:val="0"/>
              <w:adjustRightInd w:val="0"/>
              <w:jc w:val="both"/>
              <w:rPr>
                <w:rFonts w:cs="Times New Roman"/>
                <w:sz w:val="22"/>
              </w:rPr>
            </w:pPr>
            <w:r w:rsidRPr="00EE1C60">
              <w:rPr>
                <w:rFonts w:cs="Times New Roman"/>
                <w:sz w:val="22"/>
              </w:rPr>
              <w:t>- wpisano liczbę mnogą „Załączniki nr 2”,</w:t>
            </w:r>
          </w:p>
          <w:p w14:paraId="5BAA0D4C" w14:textId="0A8258E0" w:rsidR="005040B7" w:rsidRPr="00EE1C60" w:rsidRDefault="005040B7" w:rsidP="00EE1C60">
            <w:pPr>
              <w:autoSpaceDE w:val="0"/>
              <w:autoSpaceDN w:val="0"/>
              <w:adjustRightInd w:val="0"/>
              <w:jc w:val="both"/>
              <w:rPr>
                <w:rFonts w:cs="Times New Roman"/>
                <w:sz w:val="22"/>
              </w:rPr>
            </w:pPr>
            <w:r w:rsidRPr="00EE1C60">
              <w:rPr>
                <w:rFonts w:cs="Times New Roman"/>
                <w:sz w:val="22"/>
              </w:rPr>
              <w:t>- w pkt 4) wpisano słowo „zwierać” zamiast „zawierać”.</w:t>
            </w:r>
          </w:p>
        </w:tc>
        <w:tc>
          <w:tcPr>
            <w:tcW w:w="4624" w:type="dxa"/>
          </w:tcPr>
          <w:p w14:paraId="25CD0DC1" w14:textId="5A35367A" w:rsidR="007E4B02" w:rsidRPr="00EE1C60" w:rsidRDefault="00831AFB"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r w:rsidR="003D0EE0" w:rsidRPr="00EE1C60">
              <w:rPr>
                <w:rStyle w:val="cf01"/>
                <w:rFonts w:ascii="Times New Roman" w:hAnsi="Times New Roman" w:cs="Times New Roman"/>
                <w:b/>
                <w:bCs/>
                <w:sz w:val="22"/>
                <w:szCs w:val="22"/>
              </w:rPr>
              <w:t>.</w:t>
            </w:r>
          </w:p>
        </w:tc>
      </w:tr>
      <w:tr w:rsidR="00B43CAC" w:rsidRPr="00EE1C60" w14:paraId="0387EEB6" w14:textId="77777777" w:rsidTr="005178F6">
        <w:trPr>
          <w:trHeight w:val="1098"/>
        </w:trPr>
        <w:tc>
          <w:tcPr>
            <w:tcW w:w="830" w:type="dxa"/>
          </w:tcPr>
          <w:p w14:paraId="3BF1B402" w14:textId="355D2E76" w:rsidR="00B43CAC" w:rsidRPr="009A0263" w:rsidRDefault="00B43CAC" w:rsidP="009A0263">
            <w:pPr>
              <w:pStyle w:val="Akapitzlist"/>
              <w:numPr>
                <w:ilvl w:val="0"/>
                <w:numId w:val="4"/>
              </w:numPr>
              <w:tabs>
                <w:tab w:val="left" w:pos="360"/>
              </w:tabs>
              <w:jc w:val="center"/>
              <w:rPr>
                <w:rFonts w:cs="Times New Roman"/>
                <w:sz w:val="22"/>
              </w:rPr>
            </w:pPr>
          </w:p>
        </w:tc>
        <w:tc>
          <w:tcPr>
            <w:tcW w:w="1682" w:type="dxa"/>
          </w:tcPr>
          <w:p w14:paraId="42938A7E" w14:textId="41852BEB" w:rsidR="00743493" w:rsidRPr="00EE1C60" w:rsidRDefault="003D0EE0" w:rsidP="00EE1C60">
            <w:pPr>
              <w:jc w:val="center"/>
              <w:rPr>
                <w:rFonts w:cs="Times New Roman"/>
                <w:sz w:val="22"/>
              </w:rPr>
            </w:pPr>
            <w:r w:rsidRPr="00EE1C60">
              <w:rPr>
                <w:rFonts w:cs="Times New Roman"/>
                <w:sz w:val="22"/>
              </w:rPr>
              <w:t>§ 2 pkt 4</w:t>
            </w:r>
            <w:r w:rsidR="00743160" w:rsidRPr="00EE1C60">
              <w:rPr>
                <w:rFonts w:cs="Times New Roman"/>
                <w:sz w:val="22"/>
              </w:rPr>
              <w:t>, 5 i 12</w:t>
            </w:r>
          </w:p>
        </w:tc>
        <w:tc>
          <w:tcPr>
            <w:tcW w:w="1736" w:type="dxa"/>
          </w:tcPr>
          <w:p w14:paraId="3134CE7A" w14:textId="269A5C7E" w:rsidR="00B43CAC" w:rsidRPr="00EE1C60" w:rsidRDefault="003D0EE0" w:rsidP="00EE1C60">
            <w:pPr>
              <w:rPr>
                <w:rFonts w:cs="Times New Roman"/>
                <w:sz w:val="22"/>
              </w:rPr>
            </w:pPr>
            <w:r w:rsidRPr="00EE1C60">
              <w:rPr>
                <w:rFonts w:cs="Times New Roman"/>
                <w:sz w:val="22"/>
              </w:rPr>
              <w:t>Krajowa Rada Radców Prawnych</w:t>
            </w:r>
          </w:p>
        </w:tc>
        <w:tc>
          <w:tcPr>
            <w:tcW w:w="5437" w:type="dxa"/>
          </w:tcPr>
          <w:p w14:paraId="472BE62A" w14:textId="24637863" w:rsidR="003D0EE0" w:rsidRPr="00EE1C60" w:rsidRDefault="003D0EE0" w:rsidP="00EE1C60">
            <w:pPr>
              <w:autoSpaceDE w:val="0"/>
              <w:autoSpaceDN w:val="0"/>
              <w:adjustRightInd w:val="0"/>
              <w:jc w:val="both"/>
              <w:rPr>
                <w:rFonts w:cs="Times New Roman"/>
                <w:sz w:val="22"/>
              </w:rPr>
            </w:pPr>
            <w:r w:rsidRPr="00EE1C60">
              <w:rPr>
                <w:rFonts w:cs="Times New Roman"/>
                <w:sz w:val="22"/>
              </w:rPr>
              <w:t xml:space="preserve">W zakresie rozporządzenia dot. wnoszenia pism za pośrednictwem PI w postępowaniu karnym należy powtórzyć zastrzeżenia podniesione w ramach opinii dot. projektu rozporządzenia Ministra Sprawiedliwości w sprawie portalu informacyjnego (B937) dotyczące wprowadzonego pojęcia użytkownika konta. </w:t>
            </w:r>
          </w:p>
          <w:p w14:paraId="5E751019" w14:textId="77777777" w:rsidR="00B43CAC" w:rsidRPr="00EE1C60" w:rsidRDefault="003D0EE0" w:rsidP="00EE1C60">
            <w:pPr>
              <w:autoSpaceDE w:val="0"/>
              <w:autoSpaceDN w:val="0"/>
              <w:adjustRightInd w:val="0"/>
              <w:jc w:val="both"/>
              <w:rPr>
                <w:rFonts w:cs="Times New Roman"/>
                <w:sz w:val="22"/>
              </w:rPr>
            </w:pPr>
            <w:r w:rsidRPr="00EE1C60">
              <w:rPr>
                <w:rFonts w:cs="Times New Roman"/>
                <w:sz w:val="22"/>
              </w:rPr>
              <w:t xml:space="preserve">Rozporządzenie PI definiuje użytkownika konta jako osobę fizyczną, dla której założono konto w portalu informacyjnym. Jednocześnie w ramach rozporządzenia dot. wnoszenia pism za pośrednictwem PI w postępowaniu </w:t>
            </w:r>
            <w:r w:rsidRPr="00EE1C60">
              <w:rPr>
                <w:rFonts w:cs="Times New Roman"/>
                <w:sz w:val="22"/>
              </w:rPr>
              <w:lastRenderedPageBreak/>
              <w:t>karnym projektodawca zdaje się posługiwać pojęciem użytkownika konta, jako użytkownika, który działa na koncie innej osoby fizycznej, podmiotu lub podmiotu publicznego.</w:t>
            </w:r>
          </w:p>
          <w:p w14:paraId="0FE0B169" w14:textId="15E5C909" w:rsidR="00B23A61" w:rsidRPr="00EE1C60" w:rsidRDefault="00B23A61" w:rsidP="00EE1C60">
            <w:pPr>
              <w:autoSpaceDE w:val="0"/>
              <w:autoSpaceDN w:val="0"/>
              <w:adjustRightInd w:val="0"/>
              <w:jc w:val="both"/>
              <w:rPr>
                <w:rFonts w:cs="Times New Roman"/>
                <w:sz w:val="22"/>
              </w:rPr>
            </w:pPr>
            <w:r w:rsidRPr="00EE1C60">
              <w:rPr>
                <w:rFonts w:cs="Times New Roman"/>
                <w:sz w:val="22"/>
              </w:rPr>
              <w:t>Projektodawca w §</w:t>
            </w:r>
            <w:r w:rsidR="00DC449B">
              <w:rPr>
                <w:rFonts w:cs="Times New Roman"/>
                <w:sz w:val="22"/>
              </w:rPr>
              <w:t xml:space="preserve"> </w:t>
            </w:r>
            <w:r w:rsidRPr="00EE1C60">
              <w:rPr>
                <w:rFonts w:cs="Times New Roman"/>
                <w:sz w:val="22"/>
              </w:rPr>
              <w:t>2 pkt 5 i 12 rozróżnia wnoszącego pismo i wysyłającego pismo, wskazując, że wnoszącym pismo jest właściciel konta, natomiast wysyłającym pismo jest użytkownik konta, który wywołał funkcje „Złóż pismo” w module „Biuro Podawcze” służącym do wnoszenia pism wraz z załącznikami, o których mowa w §1 ustawy z dnia 6 czerwca 1997. – Kodeks postępowania karnego, w sposób umożliwiający uzyskanie przez niego dokumentu potwierdzającego wniesienie.</w:t>
            </w:r>
          </w:p>
          <w:p w14:paraId="3A02B4AE" w14:textId="77777777" w:rsidR="00743160" w:rsidRPr="00EE1C60" w:rsidRDefault="00743160" w:rsidP="00EE1C60">
            <w:pPr>
              <w:autoSpaceDE w:val="0"/>
              <w:autoSpaceDN w:val="0"/>
              <w:adjustRightInd w:val="0"/>
              <w:jc w:val="both"/>
              <w:rPr>
                <w:rFonts w:cs="Times New Roman"/>
                <w:sz w:val="22"/>
              </w:rPr>
            </w:pPr>
            <w:r w:rsidRPr="00EE1C60">
              <w:rPr>
                <w:rFonts w:cs="Times New Roman"/>
                <w:sz w:val="22"/>
              </w:rPr>
              <w:t xml:space="preserve">Należy tutaj również zwrócić na błąd redakcyjny w definicji wysyłającego pismo i niepełne odwołanie do przepisów KPK poprzez wskazanie na „§1 ustawy” bez dookreślenia artykułu. </w:t>
            </w:r>
          </w:p>
          <w:p w14:paraId="51E1FBD4" w14:textId="14DA3F25" w:rsidR="00743160" w:rsidRPr="00EE1C60" w:rsidRDefault="00743160" w:rsidP="00EE1C60">
            <w:pPr>
              <w:autoSpaceDE w:val="0"/>
              <w:autoSpaceDN w:val="0"/>
              <w:adjustRightInd w:val="0"/>
              <w:jc w:val="both"/>
              <w:rPr>
                <w:rFonts w:cs="Times New Roman"/>
                <w:sz w:val="22"/>
              </w:rPr>
            </w:pPr>
            <w:r w:rsidRPr="00EE1C60">
              <w:rPr>
                <w:rFonts w:cs="Times New Roman"/>
                <w:sz w:val="22"/>
              </w:rPr>
              <w:t>Wysyłającym pismo jest zatem zawsze osoba fizyczna, dla której założono konto w portalu informacyjnym, a wysyłającym nie może być podmiot lub podmiot publiczny, działający za pośrednictwem administratora. Jednocześnie założeniem projektodawcy zdaje się umożliwienie wysyłki pism przez osoby, który działają w ramach konta podmiotu, podmiotu publicznego lub pełnomocnika zawodowego w ramach profilu zależnego. Sposób uregulowania tej możliwości budzi jednak wątpliwości interpretacyjne poprzez odwołanie do pojęcia użytkownika konta.</w:t>
            </w:r>
          </w:p>
        </w:tc>
        <w:tc>
          <w:tcPr>
            <w:tcW w:w="4624" w:type="dxa"/>
          </w:tcPr>
          <w:p w14:paraId="6586E83A" w14:textId="2761A7F7" w:rsidR="00A86AB3" w:rsidRPr="00EE1C60" w:rsidRDefault="00A86AB3"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Uwag</w:t>
            </w:r>
            <w:r w:rsidR="00743160" w:rsidRPr="00EE1C60">
              <w:rPr>
                <w:rStyle w:val="cf01"/>
                <w:rFonts w:ascii="Times New Roman" w:hAnsi="Times New Roman" w:cs="Times New Roman"/>
                <w:b/>
                <w:bCs/>
                <w:sz w:val="22"/>
                <w:szCs w:val="22"/>
              </w:rPr>
              <w:t>i</w:t>
            </w:r>
            <w:r w:rsidR="000E7254" w:rsidRPr="00EE1C60">
              <w:rPr>
                <w:rStyle w:val="cf01"/>
                <w:rFonts w:ascii="Times New Roman" w:hAnsi="Times New Roman" w:cs="Times New Roman"/>
                <w:b/>
                <w:bCs/>
                <w:sz w:val="22"/>
                <w:szCs w:val="22"/>
              </w:rPr>
              <w:t xml:space="preserve"> uwzględnion</w:t>
            </w:r>
            <w:r w:rsidR="00743160" w:rsidRPr="00EE1C60">
              <w:rPr>
                <w:rStyle w:val="cf01"/>
                <w:rFonts w:ascii="Times New Roman" w:hAnsi="Times New Roman" w:cs="Times New Roman"/>
                <w:b/>
                <w:bCs/>
                <w:sz w:val="22"/>
                <w:szCs w:val="22"/>
              </w:rPr>
              <w:t>e</w:t>
            </w:r>
            <w:r w:rsidRPr="00EE1C60">
              <w:rPr>
                <w:rStyle w:val="cf01"/>
                <w:rFonts w:ascii="Times New Roman" w:hAnsi="Times New Roman" w:cs="Times New Roman"/>
                <w:b/>
                <w:bCs/>
                <w:sz w:val="22"/>
                <w:szCs w:val="22"/>
              </w:rPr>
              <w:t xml:space="preserve">. </w:t>
            </w:r>
          </w:p>
        </w:tc>
      </w:tr>
      <w:tr w:rsidR="001D70A8" w:rsidRPr="00EE1C60" w14:paraId="7A18E42C" w14:textId="77777777" w:rsidTr="005178F6">
        <w:trPr>
          <w:trHeight w:val="1098"/>
        </w:trPr>
        <w:tc>
          <w:tcPr>
            <w:tcW w:w="830" w:type="dxa"/>
          </w:tcPr>
          <w:p w14:paraId="2E90268D" w14:textId="351926D9" w:rsidR="001D70A8" w:rsidRPr="009A0263" w:rsidRDefault="001D70A8" w:rsidP="009A0263">
            <w:pPr>
              <w:pStyle w:val="Akapitzlist"/>
              <w:numPr>
                <w:ilvl w:val="0"/>
                <w:numId w:val="4"/>
              </w:numPr>
              <w:tabs>
                <w:tab w:val="left" w:pos="360"/>
              </w:tabs>
              <w:jc w:val="center"/>
              <w:rPr>
                <w:rFonts w:cs="Times New Roman"/>
                <w:sz w:val="22"/>
              </w:rPr>
            </w:pPr>
          </w:p>
        </w:tc>
        <w:tc>
          <w:tcPr>
            <w:tcW w:w="1682" w:type="dxa"/>
          </w:tcPr>
          <w:p w14:paraId="6B23B4AE" w14:textId="40B3AAA6" w:rsidR="001D70A8" w:rsidRPr="00EE1C60" w:rsidRDefault="00882742" w:rsidP="00EE1C60">
            <w:pPr>
              <w:jc w:val="center"/>
              <w:rPr>
                <w:rFonts w:cs="Times New Roman"/>
                <w:sz w:val="22"/>
              </w:rPr>
            </w:pPr>
            <w:r w:rsidRPr="00EE1C60">
              <w:rPr>
                <w:rFonts w:cs="Times New Roman"/>
                <w:sz w:val="22"/>
              </w:rPr>
              <w:t>O</w:t>
            </w:r>
            <w:r w:rsidR="00B32368" w:rsidRPr="00EE1C60">
              <w:rPr>
                <w:rFonts w:cs="Times New Roman"/>
                <w:sz w:val="22"/>
              </w:rPr>
              <w:t>gólna</w:t>
            </w:r>
          </w:p>
        </w:tc>
        <w:tc>
          <w:tcPr>
            <w:tcW w:w="1736" w:type="dxa"/>
          </w:tcPr>
          <w:p w14:paraId="53D75FA9" w14:textId="3CDD88DE" w:rsidR="001D70A8" w:rsidRPr="00EE1C60" w:rsidRDefault="00B32368" w:rsidP="00EE1C60">
            <w:pPr>
              <w:rPr>
                <w:rFonts w:cs="Times New Roman"/>
                <w:sz w:val="22"/>
              </w:rPr>
            </w:pPr>
            <w:r w:rsidRPr="00EE1C60">
              <w:rPr>
                <w:rFonts w:cs="Times New Roman"/>
                <w:sz w:val="22"/>
              </w:rPr>
              <w:t>Sąd Apelacyjny w Katowicach</w:t>
            </w:r>
          </w:p>
        </w:tc>
        <w:tc>
          <w:tcPr>
            <w:tcW w:w="5437" w:type="dxa"/>
          </w:tcPr>
          <w:p w14:paraId="5C640C8A"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Przedmiot analizy stanowiły projekty rozporządzeń Ministra Sprawiedliwości</w:t>
            </w:r>
          </w:p>
          <w:p w14:paraId="0541E759"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w sprawie portalu informacyjnego (projekt z dnia 2 grudnia 2025 r.);</w:t>
            </w:r>
          </w:p>
          <w:p w14:paraId="4C54F34F"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lastRenderedPageBreak/>
              <w:t>•</w:t>
            </w:r>
            <w:r w:rsidRPr="00EE1C60">
              <w:rPr>
                <w:rFonts w:cs="Times New Roman"/>
                <w:sz w:val="22"/>
              </w:rPr>
              <w:tab/>
              <w:t>w sprawie określenia trybu i sposobu wnoszenia pism procesowych w postaci elektronicznej za pośrednictwem portalu informacyjnego (projekt z dnia 4 grudnia 2025 r.);</w:t>
            </w:r>
          </w:p>
          <w:p w14:paraId="7206FD74"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w sprawie bezpośredniego wzajemnego doręczania odpisów pism procesowych z załącznikami pomiędzy adwokatami, radcami prawnymi, rzecznikami patentowymi lub Prokuratorią Generalną Rzeczypospolitej Polskiej za pośrednictwem portalu informacyjnego w postępowaniu cywilnym (projekt z dnia 2 grudnia 2025 r.);</w:t>
            </w:r>
          </w:p>
          <w:p w14:paraId="11365097"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zmieniające rozporządzenie w sprawie doręczania pism sądowych za pośrednictwem portalu informacyjnego w postępowaniu cywilnym (projekt z dnia 2 grudnia 2025 r.);</w:t>
            </w:r>
          </w:p>
          <w:p w14:paraId="6BBE77A9"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 wraz z uzasadnieniami oraz ocenami skutków regulacji każdego z ww. aktów. Poniższe uwagi odnoszą się do każdego z nich, albowiem wszystkie rozporządzenia dotyczą jednej instytucji procesowej, tj. wnoszenia pism w postaci elektronicznej, posługują się zbieżną terminologią, a przyjęte w nich rozwiązania wzajemnie ze sobą korespondują. </w:t>
            </w:r>
          </w:p>
          <w:p w14:paraId="05018130"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Podjęte czynności doprowadziły do konkluzji, iż w aktualnym stanie rzeczy wskazane akty wykonawcze koncentrują się na sposobie dokonywania odnośnych czynności procesowych za pośrednictwem portalu informacyjnego z perspektywy podmiotów wnoszących pisma. Zarówno w treści rozporządzeń, jak i ich uzasadnieniach, brakuje natomiast skonkretyzowanego odniesienia do czynności podejmowanych przez urzędników administracji sądowej i orzeczników z pismami procesowymi po ich wniesieniu przez portal informacyjny, </w:t>
            </w:r>
            <w:r w:rsidRPr="00EE1C60">
              <w:rPr>
                <w:rFonts w:cs="Times New Roman"/>
                <w:sz w:val="22"/>
              </w:rPr>
              <w:lastRenderedPageBreak/>
              <w:t>co jawi się jako etap szczególnie newralgiczny od strony praktycznej.</w:t>
            </w:r>
          </w:p>
          <w:p w14:paraId="25C5CC68"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Nie zostało w szczególności wyjaśnione, w jaki sposób mają być gromadzone i przetwarzane dokumenty przekazane przez portal informacyjny do akt poszczególnych spraw (zwłaszcza w jakim systemie teleinformatycznym). Kwestia ta ma istotne znaczenie z perspektywy z perspektywy odniesienia do przyjętych w załącznikach formatów plików czy wymagań technicznych </w:t>
            </w:r>
            <w:proofErr w:type="spellStart"/>
            <w:r w:rsidRPr="00EE1C60">
              <w:rPr>
                <w:rFonts w:cs="Times New Roman"/>
                <w:sz w:val="22"/>
              </w:rPr>
              <w:t>odwzorowań</w:t>
            </w:r>
            <w:proofErr w:type="spellEnd"/>
            <w:r w:rsidRPr="00EE1C60">
              <w:rPr>
                <w:rFonts w:cs="Times New Roman"/>
                <w:sz w:val="22"/>
              </w:rPr>
              <w:t xml:space="preserve"> cyfrowych. Aktualnie eksploatowane systemy ewidencyjne, w których do tej pory były zbierane dane dotyczące spraw sądowych (np. SAWA) nie obsługują wszystkich spośród wymienionych w tabeli formatów danych. </w:t>
            </w:r>
          </w:p>
          <w:p w14:paraId="303F6D93"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Uzasadnienia projektów odwołują się m. in. do obecnego w krajowych i unijnych strategiach informatyzacji wymiaru sprawiedliwości postulatu interoperacyjności. Sugeruje to wdrożenie mechanizmów integrujących portal informacyjny z sądowymi systemami teleinformatycznymi z obszaru </w:t>
            </w:r>
            <w:proofErr w:type="spellStart"/>
            <w:r w:rsidRPr="00EE1C60">
              <w:rPr>
                <w:rFonts w:cs="Times New Roman"/>
                <w:sz w:val="22"/>
              </w:rPr>
              <w:t>back-office</w:t>
            </w:r>
            <w:proofErr w:type="spellEnd"/>
            <w:r w:rsidRPr="00EE1C60">
              <w:rPr>
                <w:rFonts w:cs="Times New Roman"/>
                <w:sz w:val="22"/>
              </w:rPr>
              <w:t>, które jednak posługują się różnymi formatami danych i praktycznie żaden z nich nie obsługuje jednocześnie wszystkich formatów danych wymienionych w Załączniku nr 1. Analizowane akty prawne nie odnoszą się w żaden konkretny sposób do rozwiązania tych kwestii, mimo że rzutują one na skuteczność dwukierunkowej komunikacji procesowej przez portal informacyjny, którego urzeczywistnienie jest celem regulacji. Innymi słowy, nie jest wiadome, w jaki sposób postulowana interoperacyjność ma zostać wdrożona w kontekście obsługi pism procesowych wnoszonych w postaci elektronicznej za pośrednictwem systemu teleinformatycznego.</w:t>
            </w:r>
          </w:p>
          <w:p w14:paraId="0C5B784C"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lastRenderedPageBreak/>
              <w:t>Niejasne są także konsekwencje procesowe niezastosowania się do wymagań technicznych dla dokumentów skanowanych. Ustawa od dnia 1 marca 2026 r. ma przewidywać jedynie rygor odnoszący się do niewniesienia pisma właściwym kanałem komunikacyjnym, nie wskazując konsekwencji nienależytego sformatowania tych plików, co wywołuje wątpliwości odnośnie prawidłowej treści decyzji procesowej sądu/przewodniczącego. Z treści projektów nie wynika natomiast, aby funkcjonalności portalu informacyjnego obejmowały tak głęboką walidację wnoszonych pism, która oprócz rozmiarów, formatów i nazewnictwa plików obejmowałaby np. rozdzielczość skanów. Nie wiadomo więc, na jakim poziomie (technicznym, administracyjnym czy orzeczniczym) kwestia ta ma być kontrolowana.</w:t>
            </w:r>
          </w:p>
          <w:p w14:paraId="087DB854" w14:textId="2C22B18F" w:rsidR="00B32368" w:rsidRPr="00EE1C60" w:rsidRDefault="00A57199" w:rsidP="00EE1C60">
            <w:pPr>
              <w:autoSpaceDE w:val="0"/>
              <w:autoSpaceDN w:val="0"/>
              <w:adjustRightInd w:val="0"/>
              <w:jc w:val="both"/>
              <w:rPr>
                <w:rFonts w:cs="Times New Roman"/>
                <w:sz w:val="22"/>
              </w:rPr>
            </w:pPr>
            <w:r w:rsidRPr="00EE1C60">
              <w:rPr>
                <w:rFonts w:cs="Times New Roman"/>
                <w:sz w:val="22"/>
              </w:rPr>
              <w:t>W obecnym stanie rzeczy nie sposób jednak odnieść się merytorycznie do zasadności projektowanych rozwiązań ze względu na pominięcie aspektów wpływających na przebieg postępowania od strony wewnętrznej obsługi postępowania i administracji sądowej. Tymczasem to właśnie te elementy są kluczowe dla urzeczywistnienia celów informatyzacji w zakresie przyspieszenia i zwiększenia efektywności postępowań sądowych. Dopiero zaprojektowanie i wyjaśnienie rozwiązań ze wskazanych obszarów – jako podstawowych – pozwoliłoby odnieść się do konkretnych postanowień zawartych w projektach, gdyż na obecnym etapie trafna ocena przyjętych rozwiązań front-</w:t>
            </w:r>
            <w:proofErr w:type="spellStart"/>
            <w:r w:rsidRPr="00EE1C60">
              <w:rPr>
                <w:rFonts w:cs="Times New Roman"/>
                <w:sz w:val="22"/>
              </w:rPr>
              <w:t>office</w:t>
            </w:r>
            <w:proofErr w:type="spellEnd"/>
            <w:r w:rsidRPr="00EE1C60">
              <w:rPr>
                <w:rFonts w:cs="Times New Roman"/>
                <w:sz w:val="22"/>
              </w:rPr>
              <w:t xml:space="preserve">, w oderwaniu od warstwy </w:t>
            </w:r>
            <w:proofErr w:type="spellStart"/>
            <w:r w:rsidRPr="00EE1C60">
              <w:rPr>
                <w:rFonts w:cs="Times New Roman"/>
                <w:sz w:val="22"/>
              </w:rPr>
              <w:t>back-office</w:t>
            </w:r>
            <w:proofErr w:type="spellEnd"/>
            <w:r w:rsidRPr="00EE1C60">
              <w:rPr>
                <w:rFonts w:cs="Times New Roman"/>
                <w:sz w:val="22"/>
              </w:rPr>
              <w:t xml:space="preserve"> nie jest możliwa.</w:t>
            </w:r>
          </w:p>
        </w:tc>
        <w:tc>
          <w:tcPr>
            <w:tcW w:w="4624" w:type="dxa"/>
          </w:tcPr>
          <w:p w14:paraId="5C920FBD" w14:textId="008E6CFF" w:rsidR="001D70A8" w:rsidRPr="00EE1C60" w:rsidRDefault="00A57199"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lastRenderedPageBreak/>
              <w:t xml:space="preserve">Uwagi </w:t>
            </w:r>
            <w:r w:rsidR="00882742" w:rsidRPr="00EE1C60">
              <w:rPr>
                <w:rStyle w:val="cf01"/>
                <w:rFonts w:ascii="Times New Roman" w:hAnsi="Times New Roman" w:cs="Times New Roman"/>
                <w:sz w:val="22"/>
                <w:szCs w:val="22"/>
              </w:rPr>
              <w:t xml:space="preserve">przedstawione zbiorczo tj. </w:t>
            </w:r>
            <w:r w:rsidRPr="00EE1C60">
              <w:rPr>
                <w:rStyle w:val="cf01"/>
                <w:rFonts w:ascii="Times New Roman" w:hAnsi="Times New Roman" w:cs="Times New Roman"/>
                <w:sz w:val="22"/>
                <w:szCs w:val="22"/>
              </w:rPr>
              <w:t>dotyczą wszystkich rozporządzeń związanych z funkcjonowaniem Portalu Informacyjnego Sądów Powszechnych</w:t>
            </w:r>
            <w:r w:rsidR="005E279B" w:rsidRPr="00EE1C60">
              <w:rPr>
                <w:rStyle w:val="cf01"/>
                <w:rFonts w:ascii="Times New Roman" w:hAnsi="Times New Roman" w:cs="Times New Roman"/>
                <w:sz w:val="22"/>
                <w:szCs w:val="22"/>
              </w:rPr>
              <w:t xml:space="preserve">, natomiast co do zasady </w:t>
            </w:r>
            <w:r w:rsidR="00DF6B72">
              <w:rPr>
                <w:rStyle w:val="cf01"/>
                <w:rFonts w:ascii="Times New Roman" w:hAnsi="Times New Roman" w:cs="Times New Roman"/>
                <w:sz w:val="22"/>
                <w:szCs w:val="22"/>
              </w:rPr>
              <w:lastRenderedPageBreak/>
              <w:t>wykraczają</w:t>
            </w:r>
            <w:r w:rsidR="005E279B" w:rsidRPr="00EE1C60">
              <w:rPr>
                <w:rStyle w:val="cf01"/>
                <w:rFonts w:ascii="Times New Roman" w:hAnsi="Times New Roman" w:cs="Times New Roman"/>
                <w:sz w:val="22"/>
                <w:szCs w:val="22"/>
              </w:rPr>
              <w:t xml:space="preserve"> </w:t>
            </w:r>
            <w:r w:rsidR="001D0A7C" w:rsidRPr="00EE1C60">
              <w:rPr>
                <w:rStyle w:val="cf01"/>
                <w:rFonts w:ascii="Times New Roman" w:hAnsi="Times New Roman" w:cs="Times New Roman"/>
                <w:sz w:val="22"/>
                <w:szCs w:val="22"/>
              </w:rPr>
              <w:t>on</w:t>
            </w:r>
            <w:r w:rsidR="00EE4740">
              <w:rPr>
                <w:rStyle w:val="cf01"/>
                <w:rFonts w:ascii="Times New Roman" w:hAnsi="Times New Roman" w:cs="Times New Roman"/>
                <w:sz w:val="22"/>
                <w:szCs w:val="22"/>
              </w:rPr>
              <w:t>e</w:t>
            </w:r>
            <w:r w:rsidR="001D0A7C" w:rsidRPr="00EE1C60">
              <w:rPr>
                <w:rStyle w:val="cf01"/>
                <w:rFonts w:ascii="Times New Roman" w:hAnsi="Times New Roman" w:cs="Times New Roman"/>
                <w:sz w:val="22"/>
                <w:szCs w:val="22"/>
              </w:rPr>
              <w:t xml:space="preserve"> </w:t>
            </w:r>
            <w:r w:rsidR="005E279B" w:rsidRPr="00EE1C60">
              <w:rPr>
                <w:rStyle w:val="cf01"/>
                <w:rFonts w:ascii="Times New Roman" w:hAnsi="Times New Roman" w:cs="Times New Roman"/>
                <w:b/>
                <w:bCs/>
                <w:sz w:val="22"/>
                <w:szCs w:val="22"/>
              </w:rPr>
              <w:t>poza zakres projektowanej regulacji</w:t>
            </w:r>
            <w:r w:rsidR="00C94063" w:rsidRPr="00EE1C60">
              <w:rPr>
                <w:rStyle w:val="cf01"/>
                <w:rFonts w:ascii="Times New Roman" w:hAnsi="Times New Roman" w:cs="Times New Roman"/>
                <w:b/>
                <w:bCs/>
                <w:sz w:val="22"/>
                <w:szCs w:val="22"/>
              </w:rPr>
              <w:t>.</w:t>
            </w:r>
          </w:p>
          <w:p w14:paraId="2A2F6662" w14:textId="0BC511AD" w:rsidR="005E279B" w:rsidRPr="00EE1C60" w:rsidRDefault="001D0A7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Wskazać należy, że n</w:t>
            </w:r>
            <w:r w:rsidR="005E279B" w:rsidRPr="00EE1C60">
              <w:rPr>
                <w:rStyle w:val="cf01"/>
                <w:rFonts w:ascii="Times New Roman" w:hAnsi="Times New Roman" w:cs="Times New Roman"/>
                <w:sz w:val="22"/>
                <w:szCs w:val="22"/>
              </w:rPr>
              <w:t xml:space="preserve">aruszenie przepisów </w:t>
            </w:r>
            <w:r w:rsidR="00C94063" w:rsidRPr="00EE1C60">
              <w:rPr>
                <w:rStyle w:val="cf01"/>
                <w:rFonts w:ascii="Times New Roman" w:hAnsi="Times New Roman" w:cs="Times New Roman"/>
                <w:sz w:val="22"/>
                <w:szCs w:val="22"/>
              </w:rPr>
              <w:t>w zakresie</w:t>
            </w:r>
            <w:r w:rsidR="005E279B" w:rsidRPr="00EE1C60">
              <w:rPr>
                <w:rStyle w:val="cf01"/>
                <w:rFonts w:ascii="Times New Roman" w:hAnsi="Times New Roman" w:cs="Times New Roman"/>
                <w:sz w:val="22"/>
                <w:szCs w:val="22"/>
              </w:rPr>
              <w:t xml:space="preserve"> wymagań technicznych dotyczących </w:t>
            </w:r>
            <w:proofErr w:type="spellStart"/>
            <w:r w:rsidR="005E279B" w:rsidRPr="00EE1C60">
              <w:rPr>
                <w:rStyle w:val="cf01"/>
                <w:rFonts w:ascii="Times New Roman" w:hAnsi="Times New Roman" w:cs="Times New Roman"/>
                <w:sz w:val="22"/>
                <w:szCs w:val="22"/>
              </w:rPr>
              <w:t>odwzorowań</w:t>
            </w:r>
            <w:proofErr w:type="spellEnd"/>
            <w:r w:rsidR="005E279B" w:rsidRPr="00EE1C60">
              <w:rPr>
                <w:rStyle w:val="cf01"/>
                <w:rFonts w:ascii="Times New Roman" w:hAnsi="Times New Roman" w:cs="Times New Roman"/>
                <w:sz w:val="22"/>
                <w:szCs w:val="22"/>
              </w:rPr>
              <w:t xml:space="preserve"> cyfrowych może powodować nieczytelność przedłożonych dokumentów. Skutkuje to konsekwencjami wynikającymi z przepisów </w:t>
            </w:r>
            <w:r w:rsidR="00247184" w:rsidRPr="00EE1C60">
              <w:rPr>
                <w:rStyle w:val="cf01"/>
                <w:rFonts w:ascii="Times New Roman" w:hAnsi="Times New Roman" w:cs="Times New Roman"/>
                <w:sz w:val="22"/>
                <w:szCs w:val="22"/>
              </w:rPr>
              <w:t>Kodeksu postępowania karnego</w:t>
            </w:r>
            <w:r w:rsidR="005E279B" w:rsidRPr="00EE1C60">
              <w:rPr>
                <w:rStyle w:val="cf01"/>
                <w:rFonts w:ascii="Times New Roman" w:hAnsi="Times New Roman" w:cs="Times New Roman"/>
                <w:sz w:val="22"/>
                <w:szCs w:val="22"/>
              </w:rPr>
              <w:t xml:space="preserve"> – np. wezwaniem do przedłożenia czytelnych dokumentów (spełniających wymogi z załącznika nr 3)</w:t>
            </w:r>
            <w:r w:rsidR="00247184" w:rsidRPr="00EE1C60">
              <w:rPr>
                <w:rStyle w:val="cf01"/>
                <w:rFonts w:ascii="Times New Roman" w:hAnsi="Times New Roman" w:cs="Times New Roman"/>
                <w:sz w:val="22"/>
                <w:szCs w:val="22"/>
              </w:rPr>
              <w:t>.</w:t>
            </w:r>
            <w:r w:rsidR="005E279B" w:rsidRPr="00EE1C60">
              <w:rPr>
                <w:rStyle w:val="cf01"/>
                <w:rFonts w:ascii="Times New Roman" w:hAnsi="Times New Roman" w:cs="Times New Roman"/>
                <w:sz w:val="22"/>
                <w:szCs w:val="22"/>
              </w:rPr>
              <w:t xml:space="preserve"> </w:t>
            </w:r>
          </w:p>
          <w:p w14:paraId="23E792B1" w14:textId="5623EA07" w:rsidR="005E279B" w:rsidRPr="00EE1C60" w:rsidRDefault="001D0A7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Ponadto wskazać należy, że przedmiot rozporządzeń określają delegacje ustawowe. Stosowne regulacje dotyczące zmian w  rozporządzeniu Ministra Sprawiedliwości z dnia 18 czerwca 2019 r. </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Regulamin urzędowania sądów powszechnych (Dz. U. z 2024 r. poz. 867</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z późn. zm.) oraz zarządzenie Ministra Sprawiedliwości z dnia 19 czerwca 2019 r. w sprawie organizacji i zakresu działania sekretariatów sądowych oraz innych działów administracji sądowej (Dz. Urz. MS z 2019 r. poz. 138</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z późn. zm.) zostaną zaprezentowane w najbliższym czasie.</w:t>
            </w:r>
          </w:p>
          <w:p w14:paraId="6458CE7A" w14:textId="77777777" w:rsidR="001D0A7C" w:rsidRPr="00EE1C60" w:rsidRDefault="001D0A7C" w:rsidP="00EE1C60">
            <w:pPr>
              <w:jc w:val="both"/>
              <w:rPr>
                <w:rStyle w:val="cf01"/>
                <w:rFonts w:ascii="Times New Roman" w:hAnsi="Times New Roman" w:cs="Times New Roman"/>
                <w:color w:val="FF0000"/>
                <w:sz w:val="22"/>
                <w:szCs w:val="22"/>
              </w:rPr>
            </w:pPr>
          </w:p>
          <w:p w14:paraId="5A153180" w14:textId="07E18891" w:rsidR="001D0A7C" w:rsidRPr="00EE1C60" w:rsidRDefault="001D0A7C" w:rsidP="00EE1C60">
            <w:pPr>
              <w:jc w:val="both"/>
              <w:rPr>
                <w:rStyle w:val="cf01"/>
                <w:rFonts w:ascii="Times New Roman" w:hAnsi="Times New Roman" w:cs="Times New Roman"/>
                <w:color w:val="FF0000"/>
                <w:sz w:val="22"/>
                <w:szCs w:val="22"/>
              </w:rPr>
            </w:pPr>
          </w:p>
        </w:tc>
      </w:tr>
      <w:tr w:rsidR="00EE2DD3" w:rsidRPr="00EE1C60" w14:paraId="685835DA" w14:textId="77777777" w:rsidTr="005178F6">
        <w:trPr>
          <w:trHeight w:val="1098"/>
        </w:trPr>
        <w:tc>
          <w:tcPr>
            <w:tcW w:w="830" w:type="dxa"/>
          </w:tcPr>
          <w:p w14:paraId="7678388F" w14:textId="4B5911F0" w:rsidR="00EE2DD3" w:rsidRPr="009A0263" w:rsidRDefault="00EE2DD3" w:rsidP="009A0263">
            <w:pPr>
              <w:pStyle w:val="Akapitzlist"/>
              <w:numPr>
                <w:ilvl w:val="0"/>
                <w:numId w:val="4"/>
              </w:numPr>
              <w:tabs>
                <w:tab w:val="left" w:pos="360"/>
              </w:tabs>
              <w:jc w:val="center"/>
              <w:rPr>
                <w:rFonts w:cs="Times New Roman"/>
                <w:sz w:val="22"/>
              </w:rPr>
            </w:pPr>
          </w:p>
        </w:tc>
        <w:tc>
          <w:tcPr>
            <w:tcW w:w="1682" w:type="dxa"/>
          </w:tcPr>
          <w:p w14:paraId="7D1EBA02" w14:textId="7822CF01" w:rsidR="00EE2DD3" w:rsidRPr="00EE1C60" w:rsidRDefault="00882742" w:rsidP="00EE1C60">
            <w:pPr>
              <w:jc w:val="center"/>
              <w:rPr>
                <w:rFonts w:cs="Times New Roman"/>
                <w:sz w:val="22"/>
              </w:rPr>
            </w:pPr>
            <w:r w:rsidRPr="00EE1C60">
              <w:rPr>
                <w:rFonts w:cs="Times New Roman"/>
                <w:sz w:val="22"/>
              </w:rPr>
              <w:t>O</w:t>
            </w:r>
            <w:r w:rsidR="00944781" w:rsidRPr="00EE1C60">
              <w:rPr>
                <w:rFonts w:cs="Times New Roman"/>
                <w:sz w:val="22"/>
              </w:rPr>
              <w:t>gólna</w:t>
            </w:r>
          </w:p>
        </w:tc>
        <w:tc>
          <w:tcPr>
            <w:tcW w:w="1736" w:type="dxa"/>
          </w:tcPr>
          <w:p w14:paraId="1ED2ECDE" w14:textId="0138D109" w:rsidR="00EE2DD3" w:rsidRPr="00EE1C60" w:rsidRDefault="00944781" w:rsidP="00EE1C60">
            <w:pPr>
              <w:rPr>
                <w:rFonts w:cs="Times New Roman"/>
                <w:sz w:val="22"/>
              </w:rPr>
            </w:pPr>
            <w:r w:rsidRPr="00EE1C60">
              <w:rPr>
                <w:rFonts w:cs="Times New Roman"/>
                <w:sz w:val="22"/>
              </w:rPr>
              <w:t>Sąd Apelacyjny w Krakowie</w:t>
            </w:r>
          </w:p>
        </w:tc>
        <w:tc>
          <w:tcPr>
            <w:tcW w:w="5437" w:type="dxa"/>
          </w:tcPr>
          <w:p w14:paraId="14EF4E8B" w14:textId="61B48228" w:rsidR="00944781" w:rsidRPr="00EE1C60" w:rsidRDefault="00896474" w:rsidP="00EE1C60">
            <w:pPr>
              <w:autoSpaceDE w:val="0"/>
              <w:autoSpaceDN w:val="0"/>
              <w:adjustRightInd w:val="0"/>
              <w:jc w:val="both"/>
              <w:rPr>
                <w:rFonts w:cs="Times New Roman"/>
                <w:sz w:val="22"/>
              </w:rPr>
            </w:pPr>
            <w:r w:rsidRPr="00EE1C60">
              <w:rPr>
                <w:rFonts w:cs="Times New Roman"/>
                <w:sz w:val="22"/>
              </w:rPr>
              <w:t>W</w:t>
            </w:r>
            <w:r w:rsidR="00944781" w:rsidRPr="00EE1C60">
              <w:rPr>
                <w:rFonts w:cs="Times New Roman"/>
                <w:sz w:val="22"/>
              </w:rPr>
              <w:t>ydaje się, że w rozporządzeniu powinny być określone</w:t>
            </w:r>
          </w:p>
          <w:p w14:paraId="45F61D0A" w14:textId="4FE46E5F" w:rsidR="00944781" w:rsidRPr="00EE1C60" w:rsidRDefault="00944781" w:rsidP="00EE1C60">
            <w:pPr>
              <w:autoSpaceDE w:val="0"/>
              <w:autoSpaceDN w:val="0"/>
              <w:adjustRightInd w:val="0"/>
              <w:jc w:val="both"/>
              <w:rPr>
                <w:rFonts w:cs="Times New Roman"/>
                <w:sz w:val="22"/>
              </w:rPr>
            </w:pPr>
            <w:r w:rsidRPr="00EE1C60">
              <w:rPr>
                <w:rFonts w:cs="Times New Roman"/>
                <w:sz w:val="22"/>
              </w:rPr>
              <w:t>wymogi dotyczące warunków technicznych także dla odbiorcy pisma, skoro wskazano wymogi dla wnoszenia pism procesowych w postaci elektronicznej za pośrednictwem portalu informacyjnego.</w:t>
            </w:r>
            <w:r w:rsidR="007E4B02" w:rsidRPr="00EE1C60">
              <w:rPr>
                <w:rFonts w:cs="Times New Roman"/>
                <w:sz w:val="22"/>
              </w:rPr>
              <w:t xml:space="preserve"> </w:t>
            </w:r>
            <w:r w:rsidRPr="00EE1C60">
              <w:rPr>
                <w:rFonts w:cs="Times New Roman"/>
                <w:sz w:val="22"/>
              </w:rPr>
              <w:t>Rozporządzenie dotyczy bezpośredniego wzajemnego doręczania odpisów pism procesowych z załącznikami pomiędzy adwokatami, radcami prawnymi, rzecznikami patentowymi lub Prokuratorią Generalną Rzeczypospolitej Polskiej za pośrednictwem portalu informacyjnego w postępowaniu cywilnym. Oznacza</w:t>
            </w:r>
            <w:r w:rsidR="00831AFB" w:rsidRPr="00EE1C60">
              <w:rPr>
                <w:rFonts w:cs="Times New Roman"/>
                <w:sz w:val="22"/>
              </w:rPr>
              <w:t xml:space="preserve"> </w:t>
            </w:r>
            <w:r w:rsidRPr="00EE1C60">
              <w:rPr>
                <w:rFonts w:cs="Times New Roman"/>
                <w:sz w:val="22"/>
              </w:rPr>
              <w:t>to zapewnienie możliwości zapoznania się z pismami, w tym z treścią załączników.</w:t>
            </w:r>
          </w:p>
          <w:p w14:paraId="4C7C6214" w14:textId="77777777" w:rsidR="00831AFB" w:rsidRPr="00EE1C60" w:rsidRDefault="00944781" w:rsidP="00EE1C60">
            <w:pPr>
              <w:autoSpaceDE w:val="0"/>
              <w:autoSpaceDN w:val="0"/>
              <w:adjustRightInd w:val="0"/>
              <w:jc w:val="both"/>
              <w:rPr>
                <w:rFonts w:cs="Times New Roman"/>
                <w:sz w:val="22"/>
              </w:rPr>
            </w:pPr>
            <w:r w:rsidRPr="00EE1C60">
              <w:rPr>
                <w:rFonts w:cs="Times New Roman"/>
                <w:sz w:val="22"/>
              </w:rPr>
              <w:t xml:space="preserve">§ 3 Rozporządzenia w sprawie portalu informacyjnego nie zawiera </w:t>
            </w:r>
            <w:r w:rsidR="00692469" w:rsidRPr="00EE1C60">
              <w:rPr>
                <w:rFonts w:cs="Times New Roman"/>
                <w:sz w:val="22"/>
              </w:rPr>
              <w:t>wymogów technicznych</w:t>
            </w:r>
            <w:r w:rsidRPr="00EE1C60">
              <w:rPr>
                <w:rFonts w:cs="Times New Roman"/>
                <w:sz w:val="22"/>
              </w:rPr>
              <w:t xml:space="preserve"> powiązanych z wymogami dotyczącymi formatów danych dla pism</w:t>
            </w:r>
            <w:r w:rsidR="00831AFB" w:rsidRPr="00EE1C60">
              <w:rPr>
                <w:rFonts w:cs="Times New Roman"/>
                <w:sz w:val="22"/>
              </w:rPr>
              <w:t xml:space="preserve"> </w:t>
            </w:r>
            <w:r w:rsidRPr="00EE1C60">
              <w:rPr>
                <w:rFonts w:cs="Times New Roman"/>
                <w:sz w:val="22"/>
              </w:rPr>
              <w:t>procesowych i załączników składanych za pośrednictwem portalu informacyjnego.</w:t>
            </w:r>
          </w:p>
          <w:p w14:paraId="335EE5C4" w14:textId="7BD82291" w:rsidR="00831AFB" w:rsidRPr="00EE1C60" w:rsidRDefault="00831AFB" w:rsidP="00EE1C60">
            <w:pPr>
              <w:autoSpaceDE w:val="0"/>
              <w:autoSpaceDN w:val="0"/>
              <w:adjustRightInd w:val="0"/>
              <w:jc w:val="both"/>
              <w:rPr>
                <w:rFonts w:eastAsia="Aptos" w:cs="Times New Roman"/>
                <w:kern w:val="2"/>
                <w:sz w:val="22"/>
                <w14:ligatures w14:val="standardContextual"/>
              </w:rPr>
            </w:pPr>
            <w:r w:rsidRPr="00EE1C60">
              <w:rPr>
                <w:rFonts w:eastAsia="Aptos" w:cs="Times New Roman"/>
                <w:kern w:val="2"/>
                <w:sz w:val="22"/>
                <w14:ligatures w14:val="standardContextual"/>
              </w:rPr>
              <w:t>Ponadto negatywnie należy odnieść się do faktu, że rozporządzenie nie reguluje i nie nawiązuje do kwestii dotyczycących doręczenia odpisów pism procesowych i załączników stronie przeciwnej, która nie jest użytkownikiem konta i nie jest reprezentowana przez profesjonalnego pełnomocnika. Doręczenie odpisu pozwu oraz czasem wielu załączników musi być zatem poprzedzone wydrukowaniem tych dokumentów, przesłanych do sądu w formie elektronicznej.</w:t>
            </w:r>
          </w:p>
          <w:p w14:paraId="71C92AAD" w14:textId="22FDC7E4" w:rsidR="00831AFB" w:rsidRPr="00EE1C60" w:rsidRDefault="00831AFB" w:rsidP="00EE1C60">
            <w:pPr>
              <w:autoSpaceDE w:val="0"/>
              <w:autoSpaceDN w:val="0"/>
              <w:adjustRightInd w:val="0"/>
              <w:jc w:val="both"/>
              <w:rPr>
                <w:rFonts w:eastAsia="Aptos" w:cs="Times New Roman"/>
                <w:kern w:val="2"/>
                <w:sz w:val="22"/>
                <w14:ligatures w14:val="standardContextual"/>
              </w:rPr>
            </w:pPr>
            <w:r w:rsidRPr="00EE1C60">
              <w:rPr>
                <w:rFonts w:eastAsia="Aptos" w:cs="Times New Roman"/>
                <w:kern w:val="2"/>
                <w:sz w:val="22"/>
                <w14:ligatures w14:val="standardContextual"/>
              </w:rPr>
              <w:t>Czynności, które do tej pory wykonywali adwokaci lub radcowie prawni (drukowali odpisy pozwu i załączników), będą wykonywane przez sądy. W związku z tym znacznie zwiększy się obciążenie pracą sekretariatów sądów i to sądy poniosą wysokie koszty tych technicznych czynności (czas pracy pracownika, papier, drukarki itp.)</w:t>
            </w:r>
          </w:p>
          <w:p w14:paraId="1CD5CA28" w14:textId="1ADB7FF9" w:rsidR="00831AFB" w:rsidRPr="00EE1C60" w:rsidRDefault="00831AFB" w:rsidP="00EE1C60">
            <w:pPr>
              <w:autoSpaceDE w:val="0"/>
              <w:autoSpaceDN w:val="0"/>
              <w:adjustRightInd w:val="0"/>
              <w:jc w:val="both"/>
              <w:rPr>
                <w:rFonts w:cs="Times New Roman"/>
                <w:sz w:val="22"/>
              </w:rPr>
            </w:pPr>
            <w:r w:rsidRPr="00EE1C60">
              <w:rPr>
                <w:rFonts w:eastAsia="Aptos" w:cs="Times New Roman"/>
                <w:kern w:val="2"/>
                <w:sz w:val="22"/>
                <w14:ligatures w14:val="standardContextual"/>
              </w:rPr>
              <w:lastRenderedPageBreak/>
              <w:t>Projekt doskonały z punktu widzenia zawodów prawniczych (adwokatów i radców prawnych), bowiem znacznie ułatwiający ich pracę, w tym istotnie ograniczający pracę biurową kancelarii prawniczych, związaną z wydrukowaniem pism i załączników dla strony przeciwnej, (które teraz będzie można „mnożyć” bez ograniczeń związanych z kosztami ich drukowania), a przed wszystkim ograniczający koszty kancelarii, które (niestety) w znacznej części zostają przerzucone na sądy.</w:t>
            </w:r>
          </w:p>
        </w:tc>
        <w:tc>
          <w:tcPr>
            <w:tcW w:w="4624" w:type="dxa"/>
          </w:tcPr>
          <w:p w14:paraId="4A5FD425" w14:textId="0318FC27" w:rsidR="00EE2DD3" w:rsidRPr="00EE1C60" w:rsidRDefault="00EA666B"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wykracza poza zakres projektowanej regulacji (większość zgłoszonych uwag dotyczy postępowania cywilnego). </w:t>
            </w:r>
          </w:p>
          <w:p w14:paraId="50B91B46" w14:textId="507EA45E" w:rsidR="00EA666B" w:rsidRPr="00EE1C60" w:rsidRDefault="00EA666B"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sz w:val="22"/>
                <w:szCs w:val="22"/>
              </w:rPr>
              <w:t>Należy jednak wskazać, że warunki techniczne korzystania z portalu informacyjnego określa rozporządzenie Ministra Sprawiedliwości w sprawie portalu informacyjnego wydane na podstawie art. 53e § 2 ustawy z dnia 27 lipca 2001 r. – Prawo o ustroju sądów powszechnych (Dz. U. z 2024 r. poz. 334, z późn. zm.). Warunki techniczne dotyczą tak wysyłającego pismo, jak odbiorcy pisma. Warunki korzystania z portalu informacyjnego dotyczą korzystania z tego systemu, a nie z przesyłanych za jego pomocą dokumentów.</w:t>
            </w:r>
          </w:p>
        </w:tc>
      </w:tr>
      <w:tr w:rsidR="00692469" w:rsidRPr="00EE1C60" w14:paraId="1F53D2A4" w14:textId="77777777" w:rsidTr="005178F6">
        <w:trPr>
          <w:trHeight w:val="1098"/>
        </w:trPr>
        <w:tc>
          <w:tcPr>
            <w:tcW w:w="830" w:type="dxa"/>
          </w:tcPr>
          <w:p w14:paraId="583FC84C" w14:textId="402A731A" w:rsidR="00692469" w:rsidRPr="009A0263" w:rsidRDefault="00692469" w:rsidP="009A0263">
            <w:pPr>
              <w:pStyle w:val="Akapitzlist"/>
              <w:numPr>
                <w:ilvl w:val="0"/>
                <w:numId w:val="4"/>
              </w:numPr>
              <w:tabs>
                <w:tab w:val="left" w:pos="360"/>
              </w:tabs>
              <w:jc w:val="center"/>
              <w:rPr>
                <w:rFonts w:cs="Times New Roman"/>
                <w:sz w:val="22"/>
              </w:rPr>
            </w:pPr>
          </w:p>
        </w:tc>
        <w:tc>
          <w:tcPr>
            <w:tcW w:w="1682" w:type="dxa"/>
          </w:tcPr>
          <w:p w14:paraId="21F3EC92" w14:textId="56AC1D05" w:rsidR="00692469" w:rsidRPr="00EE1C60" w:rsidRDefault="00013EF0" w:rsidP="00EE1C60">
            <w:pPr>
              <w:jc w:val="center"/>
              <w:rPr>
                <w:rFonts w:cs="Times New Roman"/>
                <w:sz w:val="22"/>
              </w:rPr>
            </w:pPr>
            <w:r w:rsidRPr="00EE1C60">
              <w:rPr>
                <w:rFonts w:cs="Times New Roman"/>
                <w:sz w:val="22"/>
              </w:rPr>
              <w:t>O</w:t>
            </w:r>
            <w:r w:rsidR="007E4B02" w:rsidRPr="00EE1C60">
              <w:rPr>
                <w:rFonts w:cs="Times New Roman"/>
                <w:sz w:val="22"/>
              </w:rPr>
              <w:t>gólna</w:t>
            </w:r>
          </w:p>
        </w:tc>
        <w:tc>
          <w:tcPr>
            <w:tcW w:w="1736" w:type="dxa"/>
          </w:tcPr>
          <w:p w14:paraId="25C7522A" w14:textId="37834A10" w:rsidR="00692469" w:rsidRPr="00EE1C60" w:rsidRDefault="00B33E51" w:rsidP="00EE1C60">
            <w:pPr>
              <w:rPr>
                <w:rFonts w:cs="Times New Roman"/>
                <w:sz w:val="22"/>
              </w:rPr>
            </w:pPr>
            <w:r w:rsidRPr="00EE1C60">
              <w:rPr>
                <w:rFonts w:cs="Times New Roman"/>
                <w:sz w:val="22"/>
              </w:rPr>
              <w:t>Sąd Apelacyjny w Lublinie</w:t>
            </w:r>
          </w:p>
        </w:tc>
        <w:tc>
          <w:tcPr>
            <w:tcW w:w="5437" w:type="dxa"/>
          </w:tcPr>
          <w:p w14:paraId="6C635AA7" w14:textId="253D82F4" w:rsidR="00B33E51" w:rsidRPr="00EE1C60" w:rsidRDefault="00B33E51" w:rsidP="00EE1C60">
            <w:pPr>
              <w:autoSpaceDE w:val="0"/>
              <w:autoSpaceDN w:val="0"/>
              <w:adjustRightInd w:val="0"/>
              <w:jc w:val="both"/>
              <w:rPr>
                <w:rFonts w:cs="Times New Roman"/>
                <w:sz w:val="22"/>
              </w:rPr>
            </w:pPr>
            <w:r w:rsidRPr="00EE1C60">
              <w:rPr>
                <w:rFonts w:cs="Times New Roman"/>
                <w:sz w:val="22"/>
              </w:rPr>
              <w:t>Prezes wraz z Dyrektorem Generalnym SA chcą wyeksponować istnienie ryzyka związanego z tym projektem, generującego znaczne obciążenie pracą sekretariatów wydziałów. Powstanie bowiem konieczność drukowania pism, załączników i dołączania ich do akt, co będzie wymagało odpowiednich narzędzi, materiałów a przede wszystkim wzmocnienia kadrowego sekretariatów. Czynności, które do tej pory wykonywali profesjonalni pełnomocnicy będą przerzucone na sąd, co poza nakładem pracy spowoduje także dodatkowe koszty tych technicznych czynności (papier, drukarki, tonery itp.). Niewątpliwie należałoby, w ślad za powyższym projektem, rozważyć</w:t>
            </w:r>
            <w:r w:rsidR="00B15C36" w:rsidRPr="00EE1C60">
              <w:rPr>
                <w:rFonts w:cs="Times New Roman"/>
                <w:sz w:val="22"/>
              </w:rPr>
              <w:t xml:space="preserve"> </w:t>
            </w:r>
            <w:r w:rsidRPr="00EE1C60">
              <w:rPr>
                <w:rFonts w:cs="Times New Roman"/>
                <w:sz w:val="22"/>
              </w:rPr>
              <w:t>wzmocnienie etatowe urzędników sądowych, którzy będą musieli realizować nowe,</w:t>
            </w:r>
          </w:p>
          <w:p w14:paraId="6AA7E6C7" w14:textId="3A999834" w:rsidR="00692469" w:rsidRPr="00EE1C60" w:rsidRDefault="00B33E51" w:rsidP="00EE1C60">
            <w:pPr>
              <w:autoSpaceDE w:val="0"/>
              <w:autoSpaceDN w:val="0"/>
              <w:adjustRightInd w:val="0"/>
              <w:jc w:val="both"/>
              <w:rPr>
                <w:rFonts w:cs="Times New Roman"/>
                <w:sz w:val="22"/>
              </w:rPr>
            </w:pPr>
            <w:r w:rsidRPr="00EE1C60">
              <w:rPr>
                <w:rFonts w:cs="Times New Roman"/>
                <w:sz w:val="22"/>
              </w:rPr>
              <w:t>wskazane w projekcie, zadania.</w:t>
            </w:r>
          </w:p>
        </w:tc>
        <w:tc>
          <w:tcPr>
            <w:tcW w:w="4624" w:type="dxa"/>
          </w:tcPr>
          <w:p w14:paraId="464D521C" w14:textId="10E78B13" w:rsidR="00692469" w:rsidRPr="00EE1C60" w:rsidRDefault="002062E2"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wykracza poza zakres projektowanej regulacji.</w:t>
            </w:r>
          </w:p>
        </w:tc>
      </w:tr>
      <w:tr w:rsidR="00B15C36" w:rsidRPr="00EE1C60" w14:paraId="383DC2D1" w14:textId="77777777" w:rsidTr="005178F6">
        <w:trPr>
          <w:trHeight w:val="1098"/>
        </w:trPr>
        <w:tc>
          <w:tcPr>
            <w:tcW w:w="830" w:type="dxa"/>
          </w:tcPr>
          <w:p w14:paraId="05741BE1" w14:textId="79C4F7AB" w:rsidR="00B15C36" w:rsidRPr="009A0263" w:rsidRDefault="00B15C36" w:rsidP="009A0263">
            <w:pPr>
              <w:pStyle w:val="Akapitzlist"/>
              <w:numPr>
                <w:ilvl w:val="0"/>
                <w:numId w:val="4"/>
              </w:numPr>
              <w:tabs>
                <w:tab w:val="left" w:pos="360"/>
              </w:tabs>
              <w:jc w:val="center"/>
              <w:rPr>
                <w:rFonts w:cs="Times New Roman"/>
                <w:sz w:val="22"/>
              </w:rPr>
            </w:pPr>
          </w:p>
        </w:tc>
        <w:tc>
          <w:tcPr>
            <w:tcW w:w="1682" w:type="dxa"/>
          </w:tcPr>
          <w:p w14:paraId="525E4CB8" w14:textId="02A806C9" w:rsidR="00B15C36" w:rsidRPr="00EE1C60" w:rsidRDefault="00013EF0" w:rsidP="00EE1C60">
            <w:pPr>
              <w:jc w:val="center"/>
              <w:rPr>
                <w:rFonts w:cs="Times New Roman"/>
                <w:sz w:val="22"/>
              </w:rPr>
            </w:pPr>
            <w:r w:rsidRPr="00EE1C60">
              <w:rPr>
                <w:rFonts w:cs="Times New Roman"/>
                <w:sz w:val="22"/>
              </w:rPr>
              <w:t>O</w:t>
            </w:r>
            <w:r w:rsidR="007E4B02" w:rsidRPr="00EE1C60">
              <w:rPr>
                <w:rFonts w:cs="Times New Roman"/>
                <w:sz w:val="22"/>
              </w:rPr>
              <w:t>gólna</w:t>
            </w:r>
          </w:p>
        </w:tc>
        <w:tc>
          <w:tcPr>
            <w:tcW w:w="1736" w:type="dxa"/>
          </w:tcPr>
          <w:p w14:paraId="06B221B6" w14:textId="087FA4D8" w:rsidR="00B15C36" w:rsidRPr="00EE1C60" w:rsidRDefault="00B15C36" w:rsidP="00EE1C60">
            <w:pPr>
              <w:rPr>
                <w:rFonts w:cs="Times New Roman"/>
                <w:sz w:val="22"/>
              </w:rPr>
            </w:pPr>
            <w:r w:rsidRPr="00EE1C60">
              <w:rPr>
                <w:rFonts w:cs="Times New Roman"/>
                <w:sz w:val="22"/>
              </w:rPr>
              <w:t>Prokurator Krajowy</w:t>
            </w:r>
          </w:p>
        </w:tc>
        <w:tc>
          <w:tcPr>
            <w:tcW w:w="5437" w:type="dxa"/>
          </w:tcPr>
          <w:p w14:paraId="7AC4080C" w14:textId="6177D191" w:rsidR="00044083" w:rsidRPr="00EE1C60" w:rsidRDefault="003D4A50" w:rsidP="00EE1C60">
            <w:pPr>
              <w:autoSpaceDE w:val="0"/>
              <w:autoSpaceDN w:val="0"/>
              <w:adjustRightInd w:val="0"/>
              <w:jc w:val="both"/>
              <w:rPr>
                <w:rFonts w:cs="Times New Roman"/>
                <w:sz w:val="22"/>
              </w:rPr>
            </w:pPr>
            <w:r w:rsidRPr="00EE1C60">
              <w:rPr>
                <w:rFonts w:cs="Times New Roman"/>
                <w:sz w:val="22"/>
              </w:rPr>
              <w:t xml:space="preserve">Odnosząc się do szczegółowych rozwiązań projektu wskazać należy, iż z uwagi na fakt, że odwołuje się on do działania portalu informacyjnego, zastosowana w nim terminologia powinna być zgodna z siatką pojęciową określającą działalność portalu, a określoną obecnie w rozporządzeniu Ministra Sprawiedliwości z dnia 12 marca 2024 r. w sprawie portalu informacyjnego (Dz. U. poz. 366). Pozostawienie w projekcie luk w zakresie odwołania </w:t>
            </w:r>
            <w:r w:rsidRPr="00EE1C60">
              <w:rPr>
                <w:rFonts w:cs="Times New Roman"/>
                <w:sz w:val="22"/>
              </w:rPr>
              <w:lastRenderedPageBreak/>
              <w:t xml:space="preserve">do wskazanego rozporządzenia wynika prawdopodobnie z toczącego się odrębnie procesu legislacyjnego, w </w:t>
            </w:r>
            <w:r w:rsidR="00FE173E" w:rsidRPr="00EE1C60">
              <w:rPr>
                <w:rFonts w:cs="Times New Roman"/>
                <w:sz w:val="22"/>
              </w:rPr>
              <w:t>toku,</w:t>
            </w:r>
            <w:r w:rsidRPr="00EE1C60">
              <w:rPr>
                <w:rFonts w:cs="Times New Roman"/>
                <w:sz w:val="22"/>
              </w:rPr>
              <w:t xml:space="preserve"> którego przygotowywany jest nowy akt wykonawczy, albowiem zgodnie z art. 15 ustawy z dnia 5 sierpnia 2025 r. o zmianie ustawy - Kodeks postępowania cywilnego, ustawy - Kodeks cywilny oraz niektórych innych ustaw (Dz. U. poz. 1172) przepisy wykonawcze wydane na podstawie art. 53 e § 2 ustawy z dnia 27 lipca 2001 r. Prawo o ustroju sądów powszechnych (Dz. U. z 2024 r. poz. 334</w:t>
            </w:r>
            <w:r w:rsidR="00FE173E" w:rsidRPr="00EE1C60">
              <w:rPr>
                <w:rFonts w:cs="Times New Roman"/>
                <w:sz w:val="22"/>
              </w:rPr>
              <w:t>,</w:t>
            </w:r>
            <w:r w:rsidRPr="00EE1C60">
              <w:rPr>
                <w:rFonts w:cs="Times New Roman"/>
                <w:sz w:val="22"/>
              </w:rPr>
              <w:t xml:space="preserve"> z późn. zm.) zachowują moc do dnia wejścia w życie przepisów wykonawczych wydanych na podstawie art. 53 e § 2 ustawy w brzmieniu nadanym ustawą</w:t>
            </w:r>
            <w:r w:rsidR="00FE173E" w:rsidRPr="00EE1C60">
              <w:rPr>
                <w:rFonts w:cs="Times New Roman"/>
                <w:sz w:val="22"/>
              </w:rPr>
              <w:t xml:space="preserve"> </w:t>
            </w:r>
            <w:r w:rsidRPr="00EE1C60">
              <w:rPr>
                <w:rFonts w:cs="Times New Roman"/>
                <w:sz w:val="22"/>
              </w:rPr>
              <w:t>z dnia 5 sierpnia 2025 r., jednak nie dłużej niż przez 12 miesięcy od dnia wejścia jej w życie, to jest do dnia 1 marca 2027 roku.</w:t>
            </w:r>
          </w:p>
        </w:tc>
        <w:tc>
          <w:tcPr>
            <w:tcW w:w="4624" w:type="dxa"/>
          </w:tcPr>
          <w:p w14:paraId="03BAAC1A" w14:textId="77777777" w:rsidR="00EC0DC3" w:rsidRPr="00EE1C60" w:rsidRDefault="00C318DF"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Uwaga uwzględniona</w:t>
            </w:r>
            <w:r w:rsidR="00EC0DC3" w:rsidRPr="00EE1C60">
              <w:rPr>
                <w:rStyle w:val="cf01"/>
                <w:rFonts w:ascii="Times New Roman" w:hAnsi="Times New Roman" w:cs="Times New Roman"/>
                <w:b/>
                <w:bCs/>
                <w:sz w:val="22"/>
                <w:szCs w:val="22"/>
              </w:rPr>
              <w:t>.</w:t>
            </w:r>
          </w:p>
          <w:p w14:paraId="4D40CACA" w14:textId="4E0466C7" w:rsidR="00EC0DC3" w:rsidRPr="00EE1C60" w:rsidRDefault="00EC0DC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W przypadku określeń zdefiniowanych w projekcie rozporządzenia Ministra Sprawiedliwości w sprawie portalu informacyjnego (B937), w celu zachowania spójności terminologicznej</w:t>
            </w:r>
            <w:r w:rsidR="000D09CA"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w projekcie (A544) zamieszczono odesłania do właściwych przepisów rozporządzenia Ministra Sprawiedliwości w </w:t>
            </w:r>
            <w:r w:rsidRPr="00EE1C60">
              <w:rPr>
                <w:rStyle w:val="cf01"/>
                <w:rFonts w:ascii="Times New Roman" w:hAnsi="Times New Roman" w:cs="Times New Roman"/>
                <w:sz w:val="22"/>
                <w:szCs w:val="22"/>
              </w:rPr>
              <w:lastRenderedPageBreak/>
              <w:t xml:space="preserve">sprawie portalu informacyjnego (obecnie projekt B937). </w:t>
            </w:r>
          </w:p>
          <w:p w14:paraId="768FA9FE" w14:textId="77777777" w:rsidR="00EC0DC3" w:rsidRPr="00EE1C60" w:rsidRDefault="00EC0DC3" w:rsidP="00EE1C60">
            <w:pPr>
              <w:jc w:val="both"/>
              <w:rPr>
                <w:rStyle w:val="cf01"/>
                <w:rFonts w:ascii="Times New Roman" w:hAnsi="Times New Roman" w:cs="Times New Roman"/>
                <w:b/>
                <w:bCs/>
                <w:color w:val="FF0000"/>
                <w:sz w:val="22"/>
                <w:szCs w:val="22"/>
              </w:rPr>
            </w:pPr>
          </w:p>
          <w:p w14:paraId="4D75B8C2" w14:textId="6C9D1DDC" w:rsidR="00B15C36" w:rsidRPr="00EE1C60" w:rsidRDefault="00B15C36" w:rsidP="00EE1C60">
            <w:pPr>
              <w:jc w:val="both"/>
              <w:rPr>
                <w:rStyle w:val="cf01"/>
                <w:rFonts w:ascii="Times New Roman" w:hAnsi="Times New Roman" w:cs="Times New Roman"/>
                <w:b/>
                <w:bCs/>
                <w:color w:val="FF0000"/>
                <w:sz w:val="22"/>
                <w:szCs w:val="22"/>
              </w:rPr>
            </w:pPr>
          </w:p>
        </w:tc>
      </w:tr>
      <w:tr w:rsidR="003D4A50" w:rsidRPr="00EE1C60" w14:paraId="7EF83F5A" w14:textId="77777777" w:rsidTr="005178F6">
        <w:trPr>
          <w:trHeight w:val="1098"/>
        </w:trPr>
        <w:tc>
          <w:tcPr>
            <w:tcW w:w="830" w:type="dxa"/>
          </w:tcPr>
          <w:p w14:paraId="4713C761" w14:textId="54DCBB31" w:rsidR="003D4A50" w:rsidRPr="009A0263" w:rsidRDefault="003D4A50" w:rsidP="009A0263">
            <w:pPr>
              <w:pStyle w:val="Akapitzlist"/>
              <w:numPr>
                <w:ilvl w:val="0"/>
                <w:numId w:val="4"/>
              </w:numPr>
              <w:tabs>
                <w:tab w:val="left" w:pos="360"/>
              </w:tabs>
              <w:jc w:val="center"/>
              <w:rPr>
                <w:rFonts w:cs="Times New Roman"/>
                <w:sz w:val="22"/>
              </w:rPr>
            </w:pPr>
          </w:p>
        </w:tc>
        <w:tc>
          <w:tcPr>
            <w:tcW w:w="1682" w:type="dxa"/>
          </w:tcPr>
          <w:p w14:paraId="5CD49C3E" w14:textId="52860F88" w:rsidR="003D4A50" w:rsidRPr="00EE1C60" w:rsidRDefault="0033450F" w:rsidP="00EE1C60">
            <w:pPr>
              <w:jc w:val="center"/>
              <w:rPr>
                <w:rFonts w:cs="Times New Roman"/>
                <w:sz w:val="22"/>
              </w:rPr>
            </w:pPr>
            <w:r w:rsidRPr="00EE1C60">
              <w:rPr>
                <w:rFonts w:cs="Times New Roman"/>
                <w:sz w:val="22"/>
              </w:rPr>
              <w:t xml:space="preserve">§ 2 </w:t>
            </w:r>
            <w:r w:rsidR="0010039E" w:rsidRPr="00EE1C60">
              <w:rPr>
                <w:rFonts w:cs="Times New Roman"/>
                <w:sz w:val="22"/>
              </w:rPr>
              <w:t>i 3</w:t>
            </w:r>
          </w:p>
        </w:tc>
        <w:tc>
          <w:tcPr>
            <w:tcW w:w="1736" w:type="dxa"/>
          </w:tcPr>
          <w:p w14:paraId="637AE5B7" w14:textId="5DA2C1DD" w:rsidR="003D4A50" w:rsidRPr="00EE1C60" w:rsidRDefault="003D4A50" w:rsidP="00EE1C60">
            <w:pPr>
              <w:rPr>
                <w:rFonts w:cs="Times New Roman"/>
                <w:sz w:val="22"/>
              </w:rPr>
            </w:pPr>
            <w:r w:rsidRPr="00EE1C60">
              <w:rPr>
                <w:rFonts w:cs="Times New Roman"/>
                <w:sz w:val="22"/>
              </w:rPr>
              <w:t>Prokurator Krajowy</w:t>
            </w:r>
          </w:p>
        </w:tc>
        <w:tc>
          <w:tcPr>
            <w:tcW w:w="5437" w:type="dxa"/>
          </w:tcPr>
          <w:p w14:paraId="7CCB8C99" w14:textId="76207A2E" w:rsidR="003D4A50" w:rsidRPr="00EE1C60" w:rsidRDefault="00896474" w:rsidP="00EE1C60">
            <w:pPr>
              <w:autoSpaceDE w:val="0"/>
              <w:autoSpaceDN w:val="0"/>
              <w:adjustRightInd w:val="0"/>
              <w:jc w:val="both"/>
              <w:rPr>
                <w:rFonts w:cs="Times New Roman"/>
                <w:sz w:val="22"/>
              </w:rPr>
            </w:pPr>
            <w:r w:rsidRPr="00EE1C60">
              <w:rPr>
                <w:rFonts w:cs="Times New Roman"/>
                <w:sz w:val="22"/>
              </w:rPr>
              <w:t>U</w:t>
            </w:r>
            <w:r w:rsidR="003D4A50" w:rsidRPr="00EE1C60">
              <w:rPr>
                <w:rFonts w:cs="Times New Roman"/>
                <w:sz w:val="22"/>
              </w:rPr>
              <w:t xml:space="preserve">żyte w projekcie definicje, z których duża część jest niejasna. W tym kontekście podnieść należy, iż w § 2 pkt 4 projektu, zawierającym definicję użytkownika konta, wskazano, że użytkownikiem konta jest prokurator lub radca Prokuratorii Generalnej Rzeczypospolitej Polskiej, będący użytkownikiem konta podmiotu publicznego prokuratury lub Prokuratorii Generalnej Rzeczypospolitej Polskiej. Przyjęta terminologia budzi wątpliwości w świetle regulacji projektu określających uprawnionych do wniesienia i wysyłania pisma. Z zapisu § 2 pkt 6 oraz § 3 ust. 1 projektowanego rozporządzenia wynika, że pisma za pośrednictwem portalu informacyjnego składa użytkownik konta, natomiast zgodnie z § 2 pkt 12 projektu wysyłającym pismo jest użytkownik. Z uwagi na fakt, iż w zawartej w § 2 pkt 12 definicji wysyłającego pismo mowa jest o użytkowniku nie wiadomo, czy chodzi o użytkownika konta, o którym mowa w § 2 pkt 4, czy jakiegoś innego użytkownika, które to pojęcie bez dookreślenia „konta" nie </w:t>
            </w:r>
            <w:r w:rsidR="003D4A50" w:rsidRPr="00EE1C60">
              <w:rPr>
                <w:rFonts w:cs="Times New Roman"/>
                <w:sz w:val="22"/>
              </w:rPr>
              <w:lastRenderedPageBreak/>
              <w:t xml:space="preserve">jest jednak w projekcie zdefiniowane, powstaje wątpliwość, czy skoro użytkownikiem konta może być w świetle wskazanej powyżej definicji tylko prokurator, będący użytkownikiem konta podmiotu publicznego, sporządzone i podpisane przez prokuratora pismo będzie mógł, wykonując przy tym czynności określone w § 3, wysłać pracownik prokuratury (urzędnik lub inny pracownik prokuratury), do zadań którego zgodnie z organizacją pracy prokuratury należy ekspedycja korespondencji. Przyjęcie projektu w obecnym kształcie spowoduje nałożenie na </w:t>
            </w:r>
            <w:r w:rsidR="00FE173E" w:rsidRPr="00EE1C60">
              <w:rPr>
                <w:rFonts w:cs="Times New Roman"/>
                <w:sz w:val="22"/>
              </w:rPr>
              <w:t>prokuratora</w:t>
            </w:r>
            <w:r w:rsidR="003D4A50" w:rsidRPr="00EE1C60">
              <w:rPr>
                <w:rFonts w:cs="Times New Roman"/>
                <w:sz w:val="22"/>
              </w:rPr>
              <w:t xml:space="preserve"> jako użytkownika konta, obowiązku wykonywania czynności administracyjnych, co uznać należy za regulację nieakceptowalną. Wydaje się także, że nie taka była wola projektodawcy, albowiem w uzasadnieniu projektu wskazano omawiając definicję z § 2 pkt 12, że wysyłającym pismo może być osoba obsługująca sekretariat wnoszącego pismo, a więc właściciela konta w portalu informacyjnym, co jednak nie znajduje odzwierciedlania w przepisach projektu, które w tym zakresie wymagaj ą korekty.</w:t>
            </w:r>
          </w:p>
        </w:tc>
        <w:tc>
          <w:tcPr>
            <w:tcW w:w="4624" w:type="dxa"/>
          </w:tcPr>
          <w:p w14:paraId="0F20F3C8" w14:textId="77777777" w:rsidR="0010039E" w:rsidRPr="00EE1C60" w:rsidRDefault="00C31542"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w:t>
            </w:r>
            <w:r w:rsidR="0010039E" w:rsidRPr="00EE1C60">
              <w:rPr>
                <w:rStyle w:val="cf01"/>
                <w:rFonts w:ascii="Times New Roman" w:hAnsi="Times New Roman" w:cs="Times New Roman"/>
                <w:b/>
                <w:bCs/>
                <w:sz w:val="22"/>
                <w:szCs w:val="22"/>
              </w:rPr>
              <w:t>uwzględniona</w:t>
            </w:r>
            <w:r w:rsidRPr="00EE1C60">
              <w:rPr>
                <w:rStyle w:val="cf01"/>
                <w:rFonts w:ascii="Times New Roman" w:hAnsi="Times New Roman" w:cs="Times New Roman"/>
                <w:b/>
                <w:bCs/>
                <w:sz w:val="22"/>
                <w:szCs w:val="22"/>
              </w:rPr>
              <w:t xml:space="preserve">. </w:t>
            </w:r>
          </w:p>
          <w:p w14:paraId="65A99910" w14:textId="640E261C" w:rsidR="0010039E" w:rsidRPr="00EE1C60" w:rsidRDefault="0010039E"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Definicja ustalająca znaczenie określenia „użytkownik konta” została sformułowana w projekcie rozporządzenia Ministra Sprawiedliwości w sprawie portalu informacyjnego (B937), w którym wskazano, że przez to określenie rozumie się osobę fizyczną, dla której założono konto w portalu informacyjnym. </w:t>
            </w:r>
          </w:p>
          <w:p w14:paraId="2A289680" w14:textId="51823044" w:rsidR="00F47993" w:rsidRPr="00EE1C60" w:rsidRDefault="0010039E"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Mając powyższe na uwadze, w związku z koniecznością zachowania spójności terminologicznej, zmieniono zamieszczoną w projekcie (A544) definicję określenia „użytkownik konta” przez odesłanie do właściwego przepisu rozporządzenia Ministra Sprawiedliwości w sprawie portalu informacyjnego (obecnie projekt B937). </w:t>
            </w:r>
          </w:p>
          <w:p w14:paraId="5FCFE855" w14:textId="77777777" w:rsidR="00E72E0D" w:rsidRPr="00EE1C60" w:rsidRDefault="00F4799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Ponadto</w:t>
            </w:r>
            <w:r w:rsidR="000F6823" w:rsidRPr="00EE1C60">
              <w:rPr>
                <w:rStyle w:val="cf01"/>
                <w:rFonts w:ascii="Times New Roman" w:hAnsi="Times New Roman" w:cs="Times New Roman"/>
                <w:sz w:val="22"/>
                <w:szCs w:val="22"/>
              </w:rPr>
              <w:t xml:space="preserve"> wprowadzono definicj</w:t>
            </w:r>
            <w:r w:rsidRPr="00EE1C60">
              <w:rPr>
                <w:rStyle w:val="cf01"/>
                <w:rFonts w:ascii="Times New Roman" w:hAnsi="Times New Roman" w:cs="Times New Roman"/>
                <w:sz w:val="22"/>
                <w:szCs w:val="22"/>
              </w:rPr>
              <w:t>ę określenia</w:t>
            </w:r>
            <w:r w:rsidR="000F6823" w:rsidRPr="00EE1C60">
              <w:rPr>
                <w:rStyle w:val="cf01"/>
                <w:rFonts w:ascii="Times New Roman" w:hAnsi="Times New Roman" w:cs="Times New Roman"/>
                <w:sz w:val="22"/>
                <w:szCs w:val="22"/>
              </w:rPr>
              <w:t xml:space="preserve"> </w:t>
            </w:r>
            <w:r w:rsidRPr="00EE1C60">
              <w:rPr>
                <w:rStyle w:val="cf01"/>
                <w:rFonts w:ascii="Times New Roman" w:hAnsi="Times New Roman" w:cs="Times New Roman"/>
                <w:sz w:val="22"/>
                <w:szCs w:val="22"/>
              </w:rPr>
              <w:t>„</w:t>
            </w:r>
            <w:r w:rsidR="000F6823" w:rsidRPr="00EE1C60">
              <w:rPr>
                <w:rStyle w:val="cf01"/>
                <w:rFonts w:ascii="Times New Roman" w:hAnsi="Times New Roman" w:cs="Times New Roman"/>
                <w:sz w:val="22"/>
                <w:szCs w:val="22"/>
              </w:rPr>
              <w:t>właściciela konta</w:t>
            </w:r>
            <w:r w:rsidRPr="00EE1C60">
              <w:rPr>
                <w:rStyle w:val="cf01"/>
                <w:rFonts w:ascii="Times New Roman" w:hAnsi="Times New Roman" w:cs="Times New Roman"/>
                <w:sz w:val="22"/>
                <w:szCs w:val="22"/>
              </w:rPr>
              <w:t>"</w:t>
            </w:r>
            <w:r w:rsidR="000F6823"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w:t>
            </w:r>
          </w:p>
          <w:p w14:paraId="177F772E" w14:textId="09BC0248" w:rsidR="003D4A50" w:rsidRPr="00EE1C60" w:rsidRDefault="00C31542"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sz w:val="22"/>
                <w:szCs w:val="22"/>
              </w:rPr>
              <w:lastRenderedPageBreak/>
              <w:t>Projekt przewiduje rozróżnienie użytkownika konta i właściciela konta, jak te</w:t>
            </w:r>
            <w:r w:rsidR="00E72E0D" w:rsidRPr="00EE1C60">
              <w:rPr>
                <w:rStyle w:val="cf01"/>
                <w:rFonts w:ascii="Times New Roman" w:hAnsi="Times New Roman" w:cs="Times New Roman"/>
                <w:sz w:val="22"/>
                <w:szCs w:val="22"/>
              </w:rPr>
              <w:t>ż</w:t>
            </w:r>
            <w:r w:rsidRPr="00EE1C60">
              <w:rPr>
                <w:rStyle w:val="cf01"/>
                <w:rFonts w:ascii="Times New Roman" w:hAnsi="Times New Roman" w:cs="Times New Roman"/>
                <w:sz w:val="22"/>
                <w:szCs w:val="22"/>
              </w:rPr>
              <w:t xml:space="preserve"> wnoszącego pismo od wysyłającego pismo.  Założeniem jest umożliwienie wysyłki pism przez osoby, któr</w:t>
            </w:r>
            <w:r w:rsidR="00E72E0D" w:rsidRPr="00EE1C60">
              <w:rPr>
                <w:rStyle w:val="cf01"/>
                <w:rFonts w:ascii="Times New Roman" w:hAnsi="Times New Roman" w:cs="Times New Roman"/>
                <w:sz w:val="22"/>
                <w:szCs w:val="22"/>
              </w:rPr>
              <w:t>e</w:t>
            </w:r>
            <w:r w:rsidRPr="00EE1C60">
              <w:rPr>
                <w:rStyle w:val="cf01"/>
                <w:rFonts w:ascii="Times New Roman" w:hAnsi="Times New Roman" w:cs="Times New Roman"/>
                <w:sz w:val="22"/>
                <w:szCs w:val="22"/>
              </w:rPr>
              <w:t xml:space="preserve"> działają w ramach konta podmiotu, podmiotu publicznego lub pełnomocnika zawodowego w ramach profilu zależnego. Odwołanie się w tym przypadku do pojęcia </w:t>
            </w:r>
            <w:r w:rsidR="00E72E0D"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użytkownika konta</w:t>
            </w:r>
            <w:r w:rsidR="00E72E0D"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jest zasadne, ponieważ działa on z poziomu własnego konta w ramach profilu lub profilu zależnego</w:t>
            </w:r>
          </w:p>
          <w:p w14:paraId="27DDB1BC" w14:textId="78CB2628" w:rsidR="00F47993" w:rsidRPr="00EE1C60" w:rsidRDefault="00E72E0D" w:rsidP="00EE1C60">
            <w:pPr>
              <w:jc w:val="both"/>
              <w:rPr>
                <w:rStyle w:val="cf01"/>
                <w:rFonts w:ascii="Times New Roman" w:hAnsi="Times New Roman" w:cs="Times New Roman"/>
                <w:color w:val="FF0000"/>
                <w:sz w:val="22"/>
                <w:szCs w:val="22"/>
              </w:rPr>
            </w:pPr>
            <w:r w:rsidRPr="00EE1C60">
              <w:rPr>
                <w:rStyle w:val="cf01"/>
                <w:rFonts w:ascii="Times New Roman" w:hAnsi="Times New Roman" w:cs="Times New Roman"/>
                <w:sz w:val="22"/>
                <w:szCs w:val="22"/>
              </w:rPr>
              <w:t xml:space="preserve">Uwzględniono również uwagę redakcyjną dotyczącą </w:t>
            </w:r>
            <w:r w:rsidRPr="00EE1C60">
              <w:rPr>
                <w:rFonts w:cs="Times New Roman"/>
                <w:sz w:val="22"/>
              </w:rPr>
              <w:t xml:space="preserve">§ 2 </w:t>
            </w:r>
            <w:r w:rsidRPr="00EE1C60">
              <w:rPr>
                <w:rStyle w:val="cf01"/>
                <w:rFonts w:ascii="Times New Roman" w:hAnsi="Times New Roman" w:cs="Times New Roman"/>
                <w:sz w:val="22"/>
                <w:szCs w:val="22"/>
              </w:rPr>
              <w:t>pkt 12 projektu.</w:t>
            </w:r>
          </w:p>
        </w:tc>
      </w:tr>
      <w:tr w:rsidR="003D4A50" w:rsidRPr="00EE1C60" w14:paraId="2D4DF2E6" w14:textId="77777777" w:rsidTr="005178F6">
        <w:trPr>
          <w:trHeight w:val="4726"/>
        </w:trPr>
        <w:tc>
          <w:tcPr>
            <w:tcW w:w="830" w:type="dxa"/>
          </w:tcPr>
          <w:p w14:paraId="5CC8BFFC" w14:textId="242A637C" w:rsidR="003D4A50" w:rsidRPr="009A0263" w:rsidRDefault="003D4A50" w:rsidP="009A0263">
            <w:pPr>
              <w:pStyle w:val="Akapitzlist"/>
              <w:numPr>
                <w:ilvl w:val="0"/>
                <w:numId w:val="4"/>
              </w:numPr>
              <w:tabs>
                <w:tab w:val="left" w:pos="360"/>
              </w:tabs>
              <w:jc w:val="center"/>
              <w:rPr>
                <w:rFonts w:cs="Times New Roman"/>
                <w:sz w:val="22"/>
              </w:rPr>
            </w:pPr>
          </w:p>
        </w:tc>
        <w:tc>
          <w:tcPr>
            <w:tcW w:w="1682" w:type="dxa"/>
          </w:tcPr>
          <w:p w14:paraId="1C7A082E" w14:textId="1E202231" w:rsidR="003D4A50" w:rsidRPr="00EE1C60" w:rsidRDefault="0033450F" w:rsidP="00EE1C60">
            <w:pPr>
              <w:jc w:val="center"/>
              <w:rPr>
                <w:rFonts w:cs="Times New Roman"/>
                <w:sz w:val="22"/>
              </w:rPr>
            </w:pPr>
            <w:r w:rsidRPr="00EE1C60">
              <w:rPr>
                <w:rFonts w:cs="Times New Roman"/>
                <w:sz w:val="22"/>
              </w:rPr>
              <w:t>§ 2 pkt 6</w:t>
            </w:r>
          </w:p>
        </w:tc>
        <w:tc>
          <w:tcPr>
            <w:tcW w:w="1736" w:type="dxa"/>
          </w:tcPr>
          <w:p w14:paraId="10989A31" w14:textId="74AA62D7" w:rsidR="003D4A50" w:rsidRPr="00EE1C60" w:rsidRDefault="003D4A50" w:rsidP="00EE1C60">
            <w:pPr>
              <w:rPr>
                <w:rFonts w:cs="Times New Roman"/>
                <w:sz w:val="22"/>
              </w:rPr>
            </w:pPr>
            <w:r w:rsidRPr="00EE1C60">
              <w:rPr>
                <w:rFonts w:cs="Times New Roman"/>
                <w:sz w:val="22"/>
              </w:rPr>
              <w:t>Prokurator Krajowy</w:t>
            </w:r>
          </w:p>
        </w:tc>
        <w:tc>
          <w:tcPr>
            <w:tcW w:w="5437" w:type="dxa"/>
          </w:tcPr>
          <w:p w14:paraId="495FF63C" w14:textId="6352800F" w:rsidR="003D4A50" w:rsidRPr="00EE1C60" w:rsidRDefault="00896474" w:rsidP="00EE1C60">
            <w:pPr>
              <w:autoSpaceDE w:val="0"/>
              <w:autoSpaceDN w:val="0"/>
              <w:adjustRightInd w:val="0"/>
              <w:jc w:val="both"/>
              <w:rPr>
                <w:rFonts w:cs="Times New Roman"/>
                <w:sz w:val="22"/>
              </w:rPr>
            </w:pPr>
            <w:r w:rsidRPr="00EE1C60">
              <w:rPr>
                <w:rFonts w:cs="Times New Roman"/>
                <w:sz w:val="22"/>
              </w:rPr>
              <w:t>Z</w:t>
            </w:r>
            <w:r w:rsidR="003D4A50" w:rsidRPr="00EE1C60">
              <w:rPr>
                <w:rFonts w:cs="Times New Roman"/>
                <w:sz w:val="22"/>
              </w:rPr>
              <w:t>definiowana w § 2 pkt 6 projektu czynność wniesienia pisma nie została ukształtowana w sposób dostatecznie precyzyjny. Z definicji wynika, że jest to czynność wywoływana przez użytkownika konta i polegająca na skorzystaniu z funkcji „Złóż pismo" w module „Biuro Podawcze" służącym do wnoszenia pism wraz z załącznikami, o których mowa w art. 116a ustawy z dnia 6 czerwca 1997 r. - Kodeks postępowania karnego, w sposób umożliwiający uzyskanie przez wnoszącego pismo dokumentu potwierdzającego wniesienie. Uszczegółowienie w jaki sposób następuje wniesienie pisma za pośrednictwem portalu informacyjnego przez użytkownika konta zawiera § 3 projektu. Nie jest przy tym jasne, czy „wywołanie funkcji „Złóż pismo" w module „Biuro Podawcze", o którym mowa w definicji z § 2 pkt 6 jest tożsame z umieszczeniem treści pisma w module „Biuro Podawcze" z § 3 ust. 1 pkt 4, czy też odnosi się do wszystkich czynności z § 3 poza dokonaniem uwierzytelnienia, o którym mowa w pkt 1. Zakres czynności opisanych w § 3 (m. in. pkt 6 dot. opatrzenia pisma podpisem) wydaje się przy tym znacznie szerszy, niż wynika to z definicji wniesienia pisma. Dodatkowo definicja wniesienia pisma z § 2 pkt 6 w drugiej części odnosi się do uzyskania przez wnoszącego pismo dokumentu potwierdzającego wniesienie. W tym przypadku nie jest jasne, czy należy przez to rozumieć elektroniczne potwierdzenie wniesienia pisma,</w:t>
            </w:r>
            <w:r w:rsidRPr="00EE1C60">
              <w:rPr>
                <w:rFonts w:cs="Times New Roman"/>
                <w:sz w:val="22"/>
              </w:rPr>
              <w:t xml:space="preserve"> o </w:t>
            </w:r>
            <w:r w:rsidR="003D4A50" w:rsidRPr="00EE1C60">
              <w:rPr>
                <w:rFonts w:cs="Times New Roman"/>
                <w:sz w:val="22"/>
              </w:rPr>
              <w:t>którym mowa w § 2 pkt 8. Żadna jednak z czynności opisanych w definicji wniesienia pisma z § 2 pkt 6 i § 3 nie wskazuje na konieczność i nie posługuje się terminem wysłania pisma, a jedynie umieszczeniem treści pisma w module „Biuro podawcze".</w:t>
            </w:r>
          </w:p>
        </w:tc>
        <w:tc>
          <w:tcPr>
            <w:tcW w:w="4624" w:type="dxa"/>
          </w:tcPr>
          <w:p w14:paraId="0AA19314" w14:textId="247815F2" w:rsidR="003D4A50" w:rsidRPr="00EE1C60" w:rsidRDefault="00123F5D"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p>
          <w:p w14:paraId="01762AA0" w14:textId="59D35E6C" w:rsidR="009031C3" w:rsidRPr="00EE1C60" w:rsidRDefault="009031C3" w:rsidP="00EE1C60">
            <w:pPr>
              <w:jc w:val="both"/>
              <w:rPr>
                <w:rStyle w:val="cf01"/>
                <w:rFonts w:ascii="Times New Roman" w:hAnsi="Times New Roman" w:cs="Times New Roman"/>
                <w:b/>
                <w:bCs/>
                <w:sz w:val="22"/>
                <w:szCs w:val="22"/>
              </w:rPr>
            </w:pPr>
          </w:p>
        </w:tc>
      </w:tr>
      <w:tr w:rsidR="003D4A50" w:rsidRPr="00EE1C60" w14:paraId="44F59994" w14:textId="77777777" w:rsidTr="005178F6">
        <w:trPr>
          <w:trHeight w:val="1098"/>
        </w:trPr>
        <w:tc>
          <w:tcPr>
            <w:tcW w:w="830" w:type="dxa"/>
          </w:tcPr>
          <w:p w14:paraId="0CB3368F" w14:textId="3FE38341" w:rsidR="003D4A50" w:rsidRPr="009A0263" w:rsidRDefault="003D4A50" w:rsidP="009A0263">
            <w:pPr>
              <w:pStyle w:val="Akapitzlist"/>
              <w:numPr>
                <w:ilvl w:val="0"/>
                <w:numId w:val="4"/>
              </w:numPr>
              <w:tabs>
                <w:tab w:val="left" w:pos="360"/>
              </w:tabs>
              <w:jc w:val="center"/>
              <w:rPr>
                <w:rFonts w:cs="Times New Roman"/>
                <w:sz w:val="22"/>
              </w:rPr>
            </w:pPr>
          </w:p>
        </w:tc>
        <w:tc>
          <w:tcPr>
            <w:tcW w:w="1682" w:type="dxa"/>
          </w:tcPr>
          <w:p w14:paraId="5240B130" w14:textId="11E56762" w:rsidR="003D4A50" w:rsidRPr="00EE1C60" w:rsidRDefault="00123F5D" w:rsidP="00EE1C60">
            <w:pPr>
              <w:jc w:val="center"/>
              <w:rPr>
                <w:rFonts w:cs="Times New Roman"/>
                <w:sz w:val="22"/>
              </w:rPr>
            </w:pPr>
            <w:r w:rsidRPr="00EE1C60">
              <w:rPr>
                <w:rFonts w:cs="Times New Roman"/>
                <w:sz w:val="22"/>
              </w:rPr>
              <w:t>§ 2 pkt 5</w:t>
            </w:r>
          </w:p>
        </w:tc>
        <w:tc>
          <w:tcPr>
            <w:tcW w:w="1736" w:type="dxa"/>
          </w:tcPr>
          <w:p w14:paraId="16DA62D8" w14:textId="45D79D85" w:rsidR="003D4A50" w:rsidRPr="00EE1C60" w:rsidRDefault="003D4A50" w:rsidP="00EE1C60">
            <w:pPr>
              <w:rPr>
                <w:rFonts w:cs="Times New Roman"/>
                <w:sz w:val="22"/>
              </w:rPr>
            </w:pPr>
            <w:r w:rsidRPr="00EE1C60">
              <w:rPr>
                <w:rFonts w:cs="Times New Roman"/>
                <w:sz w:val="22"/>
              </w:rPr>
              <w:t>Prokurator Krajowy</w:t>
            </w:r>
          </w:p>
        </w:tc>
        <w:tc>
          <w:tcPr>
            <w:tcW w:w="5437" w:type="dxa"/>
          </w:tcPr>
          <w:p w14:paraId="530EBB3B" w14:textId="040CC35C" w:rsidR="003D4A50" w:rsidRPr="00EE1C60" w:rsidRDefault="00D11B80" w:rsidP="00EE1C60">
            <w:pPr>
              <w:autoSpaceDE w:val="0"/>
              <w:autoSpaceDN w:val="0"/>
              <w:adjustRightInd w:val="0"/>
              <w:jc w:val="both"/>
              <w:rPr>
                <w:rFonts w:cs="Times New Roman"/>
                <w:sz w:val="22"/>
              </w:rPr>
            </w:pPr>
            <w:r w:rsidRPr="00EE1C60">
              <w:rPr>
                <w:rFonts w:cs="Times New Roman"/>
                <w:sz w:val="22"/>
              </w:rPr>
              <w:t>Zawarta w § 2 pkt 5 definicja wnoszącego pisma posługuje się pojęciem właściciela konta, które nie zostało zdefiniowane na gruncie opiniowanego projektu. Wydaje się w tym przypadku, że chodzi o właściciela konta, o którym mowa w § 2 pkt 19 projektu rozporządzenia Ministra Sprawiedliwości z dnia 2 grudnia 2025 r. w sprawie portalu informacyjnego (B937). Z tych względów wskazana definicja winna zostać uzupełniona poprzez stosowne odwołanie analogicznie, jak to ma miejsce w § 2 pkt 1</w:t>
            </w:r>
            <w:r w:rsidR="009031C3" w:rsidRPr="00EE1C60">
              <w:rPr>
                <w:rFonts w:cs="Times New Roman"/>
                <w:sz w:val="22"/>
              </w:rPr>
              <w:t xml:space="preserve"> i </w:t>
            </w:r>
            <w:r w:rsidRPr="00EE1C60">
              <w:rPr>
                <w:rFonts w:cs="Times New Roman"/>
                <w:sz w:val="22"/>
              </w:rPr>
              <w:t>11 opiniowanego projektu.</w:t>
            </w:r>
          </w:p>
        </w:tc>
        <w:tc>
          <w:tcPr>
            <w:tcW w:w="4624" w:type="dxa"/>
          </w:tcPr>
          <w:p w14:paraId="21FF873C" w14:textId="3A989559" w:rsidR="003D4A50" w:rsidRPr="00EE1C60" w:rsidRDefault="00123F5D"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uwzględniona.</w:t>
            </w:r>
          </w:p>
          <w:p w14:paraId="3C50F22E" w14:textId="77777777" w:rsidR="009031C3" w:rsidRPr="00EE1C60" w:rsidRDefault="009031C3" w:rsidP="00EE1C60">
            <w:pPr>
              <w:jc w:val="both"/>
              <w:rPr>
                <w:rStyle w:val="cf01"/>
                <w:rFonts w:ascii="Times New Roman" w:hAnsi="Times New Roman" w:cs="Times New Roman"/>
                <w:b/>
                <w:bCs/>
                <w:sz w:val="22"/>
                <w:szCs w:val="22"/>
              </w:rPr>
            </w:pPr>
          </w:p>
          <w:p w14:paraId="094A36F6" w14:textId="77777777" w:rsidR="009031C3" w:rsidRPr="00EE1C60" w:rsidRDefault="009031C3" w:rsidP="00EE1C60">
            <w:pPr>
              <w:jc w:val="both"/>
              <w:rPr>
                <w:rStyle w:val="cf01"/>
                <w:rFonts w:ascii="Times New Roman" w:hAnsi="Times New Roman" w:cs="Times New Roman"/>
                <w:b/>
                <w:bCs/>
                <w:sz w:val="22"/>
                <w:szCs w:val="22"/>
              </w:rPr>
            </w:pPr>
          </w:p>
          <w:p w14:paraId="3868B25B" w14:textId="77777777" w:rsidR="009031C3" w:rsidRPr="00EE1C60" w:rsidRDefault="009031C3" w:rsidP="00EE1C60">
            <w:pPr>
              <w:jc w:val="both"/>
              <w:rPr>
                <w:rStyle w:val="cf01"/>
                <w:rFonts w:ascii="Times New Roman" w:hAnsi="Times New Roman" w:cs="Times New Roman"/>
                <w:b/>
                <w:bCs/>
                <w:sz w:val="22"/>
                <w:szCs w:val="22"/>
              </w:rPr>
            </w:pPr>
          </w:p>
          <w:p w14:paraId="4344B4B7" w14:textId="77777777" w:rsidR="009031C3" w:rsidRPr="00EE1C60" w:rsidRDefault="009031C3" w:rsidP="00EE1C60">
            <w:pPr>
              <w:jc w:val="both"/>
              <w:rPr>
                <w:rStyle w:val="cf01"/>
                <w:rFonts w:ascii="Times New Roman" w:hAnsi="Times New Roman" w:cs="Times New Roman"/>
                <w:b/>
                <w:bCs/>
                <w:sz w:val="22"/>
                <w:szCs w:val="22"/>
              </w:rPr>
            </w:pPr>
          </w:p>
          <w:p w14:paraId="45F73FDD" w14:textId="77777777" w:rsidR="009031C3" w:rsidRPr="00EE1C60" w:rsidRDefault="009031C3" w:rsidP="00EE1C60">
            <w:pPr>
              <w:jc w:val="both"/>
              <w:rPr>
                <w:rStyle w:val="cf01"/>
                <w:rFonts w:ascii="Times New Roman" w:hAnsi="Times New Roman" w:cs="Times New Roman"/>
                <w:b/>
                <w:bCs/>
                <w:sz w:val="22"/>
                <w:szCs w:val="22"/>
              </w:rPr>
            </w:pPr>
          </w:p>
          <w:p w14:paraId="44B44944" w14:textId="77777777" w:rsidR="009031C3" w:rsidRPr="00EE1C60" w:rsidRDefault="009031C3" w:rsidP="00EE1C60">
            <w:pPr>
              <w:jc w:val="both"/>
              <w:rPr>
                <w:rStyle w:val="cf01"/>
                <w:rFonts w:ascii="Times New Roman" w:hAnsi="Times New Roman" w:cs="Times New Roman"/>
                <w:b/>
                <w:bCs/>
                <w:sz w:val="22"/>
                <w:szCs w:val="22"/>
              </w:rPr>
            </w:pPr>
          </w:p>
          <w:p w14:paraId="60B955CE" w14:textId="77777777" w:rsidR="009031C3" w:rsidRPr="00EE1C60" w:rsidRDefault="009031C3" w:rsidP="00EE1C60">
            <w:pPr>
              <w:jc w:val="both"/>
              <w:rPr>
                <w:rStyle w:val="cf01"/>
                <w:rFonts w:ascii="Times New Roman" w:hAnsi="Times New Roman" w:cs="Times New Roman"/>
                <w:b/>
                <w:bCs/>
                <w:sz w:val="22"/>
                <w:szCs w:val="22"/>
              </w:rPr>
            </w:pPr>
          </w:p>
          <w:p w14:paraId="28BCC697" w14:textId="77777777" w:rsidR="009031C3" w:rsidRPr="00EE1C60" w:rsidRDefault="009031C3" w:rsidP="00EE1C60">
            <w:pPr>
              <w:jc w:val="both"/>
              <w:rPr>
                <w:rStyle w:val="cf01"/>
                <w:rFonts w:ascii="Times New Roman" w:hAnsi="Times New Roman" w:cs="Times New Roman"/>
                <w:b/>
                <w:bCs/>
                <w:sz w:val="22"/>
                <w:szCs w:val="22"/>
              </w:rPr>
            </w:pPr>
          </w:p>
          <w:p w14:paraId="4B36B841" w14:textId="77777777" w:rsidR="009031C3" w:rsidRPr="00EE1C60" w:rsidRDefault="009031C3" w:rsidP="00EE1C60">
            <w:pPr>
              <w:jc w:val="both"/>
              <w:rPr>
                <w:rStyle w:val="cf01"/>
                <w:rFonts w:ascii="Times New Roman" w:hAnsi="Times New Roman" w:cs="Times New Roman"/>
                <w:b/>
                <w:bCs/>
                <w:sz w:val="22"/>
                <w:szCs w:val="22"/>
              </w:rPr>
            </w:pPr>
          </w:p>
          <w:p w14:paraId="0B2668D0" w14:textId="77777777" w:rsidR="009031C3" w:rsidRPr="00EE1C60" w:rsidRDefault="009031C3" w:rsidP="00EE1C60">
            <w:pPr>
              <w:jc w:val="both"/>
              <w:rPr>
                <w:rStyle w:val="cf01"/>
                <w:rFonts w:ascii="Times New Roman" w:hAnsi="Times New Roman" w:cs="Times New Roman"/>
                <w:b/>
                <w:bCs/>
                <w:sz w:val="22"/>
                <w:szCs w:val="22"/>
              </w:rPr>
            </w:pPr>
          </w:p>
          <w:p w14:paraId="3169B7E9" w14:textId="77777777" w:rsidR="009031C3" w:rsidRPr="00EE1C60" w:rsidRDefault="009031C3" w:rsidP="00EE1C60">
            <w:pPr>
              <w:jc w:val="both"/>
              <w:rPr>
                <w:rStyle w:val="cf01"/>
                <w:rFonts w:ascii="Times New Roman" w:hAnsi="Times New Roman" w:cs="Times New Roman"/>
                <w:b/>
                <w:bCs/>
                <w:sz w:val="22"/>
                <w:szCs w:val="22"/>
              </w:rPr>
            </w:pPr>
          </w:p>
          <w:p w14:paraId="77319A33" w14:textId="223FC8F2" w:rsidR="009031C3" w:rsidRPr="00EE1C60" w:rsidRDefault="009031C3" w:rsidP="00EE1C60">
            <w:pPr>
              <w:jc w:val="both"/>
              <w:rPr>
                <w:rStyle w:val="cf01"/>
                <w:rFonts w:ascii="Times New Roman" w:hAnsi="Times New Roman" w:cs="Times New Roman"/>
                <w:b/>
                <w:bCs/>
                <w:sz w:val="22"/>
                <w:szCs w:val="22"/>
              </w:rPr>
            </w:pPr>
          </w:p>
        </w:tc>
      </w:tr>
      <w:tr w:rsidR="00123F5D" w:rsidRPr="00EE1C60" w14:paraId="5E383C7F" w14:textId="77777777" w:rsidTr="005178F6">
        <w:trPr>
          <w:trHeight w:val="1098"/>
        </w:trPr>
        <w:tc>
          <w:tcPr>
            <w:tcW w:w="830" w:type="dxa"/>
          </w:tcPr>
          <w:p w14:paraId="58D83BCD" w14:textId="77777777" w:rsidR="00123F5D" w:rsidRPr="009A0263" w:rsidRDefault="00123F5D" w:rsidP="009A0263">
            <w:pPr>
              <w:pStyle w:val="Akapitzlist"/>
              <w:numPr>
                <w:ilvl w:val="0"/>
                <w:numId w:val="4"/>
              </w:numPr>
              <w:tabs>
                <w:tab w:val="left" w:pos="360"/>
              </w:tabs>
              <w:jc w:val="center"/>
              <w:rPr>
                <w:rFonts w:cs="Times New Roman"/>
                <w:sz w:val="22"/>
              </w:rPr>
            </w:pPr>
          </w:p>
        </w:tc>
        <w:tc>
          <w:tcPr>
            <w:tcW w:w="1682" w:type="dxa"/>
          </w:tcPr>
          <w:p w14:paraId="7A7B110B" w14:textId="4275F4A5" w:rsidR="00123F5D" w:rsidRPr="00EE1C60" w:rsidRDefault="00123F5D" w:rsidP="00EE1C60">
            <w:pPr>
              <w:jc w:val="center"/>
              <w:rPr>
                <w:rFonts w:cs="Times New Roman"/>
                <w:sz w:val="22"/>
              </w:rPr>
            </w:pPr>
            <w:r w:rsidRPr="00EE1C60">
              <w:rPr>
                <w:rFonts w:cs="Times New Roman"/>
                <w:sz w:val="22"/>
              </w:rPr>
              <w:t>§ 2 pkt 9</w:t>
            </w:r>
          </w:p>
        </w:tc>
        <w:tc>
          <w:tcPr>
            <w:tcW w:w="1736" w:type="dxa"/>
          </w:tcPr>
          <w:p w14:paraId="5E49D093" w14:textId="08CF8A27" w:rsidR="00123F5D" w:rsidRPr="00EE1C60" w:rsidRDefault="00123F5D" w:rsidP="00EE1C60">
            <w:pPr>
              <w:rPr>
                <w:rFonts w:cs="Times New Roman"/>
                <w:sz w:val="22"/>
              </w:rPr>
            </w:pPr>
            <w:r w:rsidRPr="00EE1C60">
              <w:rPr>
                <w:rFonts w:cs="Times New Roman"/>
                <w:sz w:val="22"/>
              </w:rPr>
              <w:t>Prokurator Krajowy</w:t>
            </w:r>
          </w:p>
        </w:tc>
        <w:tc>
          <w:tcPr>
            <w:tcW w:w="5437" w:type="dxa"/>
          </w:tcPr>
          <w:p w14:paraId="50D381BA" w14:textId="5F86996E" w:rsidR="00123F5D" w:rsidRPr="00EE1C60" w:rsidRDefault="00123F5D" w:rsidP="00EE1C60">
            <w:pPr>
              <w:autoSpaceDE w:val="0"/>
              <w:autoSpaceDN w:val="0"/>
              <w:adjustRightInd w:val="0"/>
              <w:jc w:val="both"/>
              <w:rPr>
                <w:rFonts w:cs="Times New Roman"/>
                <w:sz w:val="22"/>
              </w:rPr>
            </w:pPr>
            <w:r w:rsidRPr="00EE1C60">
              <w:rPr>
                <w:rFonts w:cs="Times New Roman"/>
                <w:sz w:val="22"/>
              </w:rPr>
              <w:t>W celu zabezpieczenia praw osób wnoszących pisma do sądu z wykorzystaniem portalu informacyjnego istotną kwestią, jest określenie daty wniesienia pisma. W projekcie jako datę wniesienia pisma określa się datę wskazującą na rok, miesiąc, dzień, godzinę, minutę i sekundę utrwalenia pisma w portalu informacyjnym po wywołaniu funkcji „Złóż pismo" (§ 2 pkt 9). Rozporządzenie nie precyzuje jednak pojęcia utrwalenia pisma w portalu. Z uwagi na konsekwencje procesowe wynikające z zachowania terminu do wniesienia pisma istotne jest, aby użytkownik składający pismo na portalu informacyjnym miał pewność, który moment - po wykonaniu, którego ze wskazanych w § 3 kroków - uznawany jest za utrwalenie pisma. Z tych względów definicja daty wniesienia pisma powinna zostać doprecyzowana.</w:t>
            </w:r>
          </w:p>
        </w:tc>
        <w:tc>
          <w:tcPr>
            <w:tcW w:w="4624" w:type="dxa"/>
          </w:tcPr>
          <w:p w14:paraId="5D248CBE" w14:textId="3A6F923E" w:rsidR="00123F5D" w:rsidRPr="00EE1C60" w:rsidRDefault="00123F5D" w:rsidP="00EE1C60">
            <w:pPr>
              <w:jc w:val="both"/>
              <w:rPr>
                <w:rStyle w:val="cf01"/>
                <w:rFonts w:ascii="Times New Roman" w:hAnsi="Times New Roman" w:cs="Times New Roman"/>
                <w:b/>
                <w:bCs/>
                <w:sz w:val="22"/>
                <w:szCs w:val="22"/>
              </w:rPr>
            </w:pPr>
            <w:r w:rsidRPr="00B0115F">
              <w:rPr>
                <w:rStyle w:val="cf01"/>
                <w:rFonts w:ascii="Times New Roman" w:hAnsi="Times New Roman" w:cs="Times New Roman"/>
                <w:b/>
                <w:bCs/>
                <w:sz w:val="22"/>
                <w:szCs w:val="22"/>
              </w:rPr>
              <w:t>Uwaga uwzględniona.</w:t>
            </w:r>
          </w:p>
        </w:tc>
      </w:tr>
      <w:tr w:rsidR="00D11B80" w:rsidRPr="00EE1C60" w14:paraId="1F4CB4AE" w14:textId="77777777" w:rsidTr="005178F6">
        <w:trPr>
          <w:trHeight w:val="1098"/>
        </w:trPr>
        <w:tc>
          <w:tcPr>
            <w:tcW w:w="830" w:type="dxa"/>
          </w:tcPr>
          <w:p w14:paraId="1BABAD37" w14:textId="4E2626A2" w:rsidR="00D11B80" w:rsidRPr="009A0263" w:rsidRDefault="00D11B80" w:rsidP="009A0263">
            <w:pPr>
              <w:pStyle w:val="Akapitzlist"/>
              <w:numPr>
                <w:ilvl w:val="0"/>
                <w:numId w:val="4"/>
              </w:numPr>
              <w:tabs>
                <w:tab w:val="left" w:pos="360"/>
              </w:tabs>
              <w:jc w:val="center"/>
              <w:rPr>
                <w:rFonts w:cs="Times New Roman"/>
                <w:sz w:val="22"/>
              </w:rPr>
            </w:pPr>
          </w:p>
        </w:tc>
        <w:tc>
          <w:tcPr>
            <w:tcW w:w="1682" w:type="dxa"/>
          </w:tcPr>
          <w:p w14:paraId="2420E3EF" w14:textId="4DFC1E95" w:rsidR="00D11B80" w:rsidRPr="00EE1C60" w:rsidRDefault="00AA4C79" w:rsidP="00EE1C60">
            <w:pPr>
              <w:jc w:val="center"/>
              <w:rPr>
                <w:rFonts w:cs="Times New Roman"/>
                <w:sz w:val="22"/>
              </w:rPr>
            </w:pPr>
            <w:r w:rsidRPr="00EE1C60">
              <w:rPr>
                <w:rFonts w:cs="Times New Roman"/>
                <w:sz w:val="22"/>
              </w:rPr>
              <w:t>Ogólna</w:t>
            </w:r>
          </w:p>
        </w:tc>
        <w:tc>
          <w:tcPr>
            <w:tcW w:w="1736" w:type="dxa"/>
          </w:tcPr>
          <w:p w14:paraId="1CD51035" w14:textId="63426F69" w:rsidR="00D11B80" w:rsidRPr="00EE1C60" w:rsidRDefault="00D11B80" w:rsidP="00EE1C60">
            <w:pPr>
              <w:rPr>
                <w:rFonts w:cs="Times New Roman"/>
                <w:sz w:val="22"/>
              </w:rPr>
            </w:pPr>
            <w:r w:rsidRPr="00EE1C60">
              <w:rPr>
                <w:rFonts w:cs="Times New Roman"/>
                <w:sz w:val="22"/>
              </w:rPr>
              <w:t>Prokurator Krajowy</w:t>
            </w:r>
          </w:p>
        </w:tc>
        <w:tc>
          <w:tcPr>
            <w:tcW w:w="5437" w:type="dxa"/>
          </w:tcPr>
          <w:p w14:paraId="49796B27" w14:textId="77777777" w:rsidR="00D11B80" w:rsidRPr="00EE1C60" w:rsidRDefault="00D11B80" w:rsidP="00EE1C60">
            <w:pPr>
              <w:autoSpaceDE w:val="0"/>
              <w:autoSpaceDN w:val="0"/>
              <w:adjustRightInd w:val="0"/>
              <w:jc w:val="both"/>
              <w:rPr>
                <w:rFonts w:cs="Times New Roman"/>
                <w:sz w:val="22"/>
              </w:rPr>
            </w:pPr>
            <w:r w:rsidRPr="00EE1C60">
              <w:rPr>
                <w:rFonts w:cs="Times New Roman"/>
                <w:sz w:val="22"/>
              </w:rPr>
              <w:t xml:space="preserve">W uzasadnieniu projektu wskazano, że po wniesieniu pisma w portalu informacyjnym system automatycznie prezentuje na koncie użytkownika datę jego wniesienia oraz generuje dokument potwierdzający wynik weryfikacji podpisów </w:t>
            </w:r>
            <w:r w:rsidRPr="00EE1C60">
              <w:rPr>
                <w:rFonts w:cs="Times New Roman"/>
                <w:sz w:val="22"/>
              </w:rPr>
              <w:lastRenderedPageBreak/>
              <w:t>elektronicznych, którymi opatrzono pismo lub jego załączniki. Rozwiązanie to ma zapewnić transparentność czynności procesowej oraz umożliwić niezwłoczne ustalenie czy pismo zostało podpisane w sposób spełniający wymogi prawne. Wątpliwości budzi, czy w ten sam sposób zostanie obsłużona sytuacja negatywnej weryfikacji złożonych podpisów - czy w przypadku, gdy podpis nie zostanie złożony, czy też nie zostanie prawidłowo zweryfikowany, system wygeneruje datę wniesienia, która pojawi się na koncie użytkownika, a wniesione w ten sposób pismo będzie obarczone brakiem formalnym w postaci braku podpisu.</w:t>
            </w:r>
          </w:p>
          <w:p w14:paraId="34DB8690" w14:textId="52108ADD" w:rsidR="00D11B80" w:rsidRPr="00EE1C60" w:rsidRDefault="00D11B80" w:rsidP="00EE1C60">
            <w:pPr>
              <w:autoSpaceDE w:val="0"/>
              <w:autoSpaceDN w:val="0"/>
              <w:adjustRightInd w:val="0"/>
              <w:jc w:val="both"/>
              <w:rPr>
                <w:rFonts w:cs="Times New Roman"/>
                <w:sz w:val="22"/>
              </w:rPr>
            </w:pPr>
            <w:r w:rsidRPr="00EE1C60">
              <w:rPr>
                <w:rFonts w:cs="Times New Roman"/>
                <w:sz w:val="22"/>
              </w:rPr>
              <w:t>Zarówno projekt rozporządzenia jak i jego uzasadnienie nie precyzuje również w jaki sposób zostanie zweryfikowany zaawansowany podpis prokuratora.</w:t>
            </w:r>
          </w:p>
        </w:tc>
        <w:tc>
          <w:tcPr>
            <w:tcW w:w="4624" w:type="dxa"/>
          </w:tcPr>
          <w:p w14:paraId="27BB1AB0" w14:textId="77777777" w:rsidR="00D11B80" w:rsidRPr="00EE1C60" w:rsidRDefault="00AA4C79"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Uwaga nieuwzględniona.</w:t>
            </w:r>
          </w:p>
          <w:p w14:paraId="554802C4" w14:textId="77777777" w:rsidR="00AA4C79" w:rsidRPr="00EE1C60" w:rsidRDefault="00AA4C79"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Wynik weryfikacji podpisu może być pozytywny albo negatywny. Negatywna</w:t>
            </w:r>
            <w:r w:rsidRPr="00EE1C60">
              <w:rPr>
                <w:rStyle w:val="cf01"/>
                <w:rFonts w:ascii="Times New Roman" w:hAnsi="Times New Roman" w:cs="Times New Roman"/>
                <w:b/>
                <w:bCs/>
                <w:sz w:val="22"/>
                <w:szCs w:val="22"/>
              </w:rPr>
              <w:t xml:space="preserve"> </w:t>
            </w:r>
            <w:r w:rsidRPr="00EE1C60">
              <w:rPr>
                <w:rStyle w:val="cf01"/>
                <w:rFonts w:ascii="Times New Roman" w:hAnsi="Times New Roman" w:cs="Times New Roman"/>
                <w:sz w:val="22"/>
                <w:szCs w:val="22"/>
              </w:rPr>
              <w:t>weryfikacja podpisu spowoduje, że tę sytuację oceni sąd.</w:t>
            </w:r>
          </w:p>
          <w:p w14:paraId="64C61CD3" w14:textId="28647FFD" w:rsidR="00AA4C79" w:rsidRPr="00EE1C60" w:rsidRDefault="00AA4C79" w:rsidP="00EE1C60">
            <w:pPr>
              <w:jc w:val="both"/>
              <w:rPr>
                <w:rStyle w:val="cf01"/>
                <w:rFonts w:ascii="Times New Roman" w:hAnsi="Times New Roman" w:cs="Times New Roman"/>
                <w:color w:val="FF0000"/>
                <w:sz w:val="22"/>
                <w:szCs w:val="22"/>
              </w:rPr>
            </w:pPr>
            <w:r w:rsidRPr="00EE1C60">
              <w:rPr>
                <w:rStyle w:val="cf01"/>
                <w:rFonts w:ascii="Times New Roman" w:hAnsi="Times New Roman" w:cs="Times New Roman"/>
                <w:sz w:val="22"/>
                <w:szCs w:val="22"/>
              </w:rPr>
              <w:lastRenderedPageBreak/>
              <w:t>Kwestie dotyczące sposobu weryfikacji podpisów stanowią</w:t>
            </w:r>
            <w:r w:rsidR="008B3A47" w:rsidRPr="00EE1C60">
              <w:rPr>
                <w:rStyle w:val="cf01"/>
                <w:rFonts w:ascii="Times New Roman" w:hAnsi="Times New Roman" w:cs="Times New Roman"/>
                <w:sz w:val="22"/>
                <w:szCs w:val="22"/>
              </w:rPr>
              <w:t xml:space="preserve"> rozwiązania techniczne.</w:t>
            </w:r>
          </w:p>
        </w:tc>
      </w:tr>
      <w:tr w:rsidR="00D11B80" w:rsidRPr="00EE1C60" w14:paraId="317945B0" w14:textId="77777777" w:rsidTr="005178F6">
        <w:trPr>
          <w:trHeight w:val="1098"/>
        </w:trPr>
        <w:tc>
          <w:tcPr>
            <w:tcW w:w="830" w:type="dxa"/>
          </w:tcPr>
          <w:p w14:paraId="26AA24B9" w14:textId="06ED3666" w:rsidR="00D11B80" w:rsidRPr="009A0263" w:rsidRDefault="00D11B80" w:rsidP="009A0263">
            <w:pPr>
              <w:pStyle w:val="Akapitzlist"/>
              <w:numPr>
                <w:ilvl w:val="0"/>
                <w:numId w:val="4"/>
              </w:numPr>
              <w:tabs>
                <w:tab w:val="left" w:pos="360"/>
              </w:tabs>
              <w:jc w:val="center"/>
              <w:rPr>
                <w:rFonts w:cs="Times New Roman"/>
                <w:sz w:val="22"/>
              </w:rPr>
            </w:pPr>
          </w:p>
        </w:tc>
        <w:tc>
          <w:tcPr>
            <w:tcW w:w="1682" w:type="dxa"/>
          </w:tcPr>
          <w:p w14:paraId="684F96A2" w14:textId="2D74E97B" w:rsidR="00D11B80" w:rsidRPr="00EE1C60" w:rsidRDefault="0033450F" w:rsidP="00EE1C60">
            <w:pPr>
              <w:jc w:val="center"/>
              <w:rPr>
                <w:rFonts w:cs="Times New Roman"/>
                <w:sz w:val="22"/>
              </w:rPr>
            </w:pPr>
            <w:r w:rsidRPr="00EE1C60">
              <w:rPr>
                <w:rFonts w:cs="Times New Roman"/>
                <w:sz w:val="22"/>
              </w:rPr>
              <w:t>§ 3 i</w:t>
            </w:r>
            <w:r w:rsidR="00013EF0" w:rsidRPr="00EE1C60">
              <w:rPr>
                <w:rFonts w:cs="Times New Roman"/>
                <w:sz w:val="22"/>
              </w:rPr>
              <w:t xml:space="preserve"> </w:t>
            </w:r>
            <w:r w:rsidRPr="00EE1C60">
              <w:rPr>
                <w:rFonts w:cs="Times New Roman"/>
                <w:sz w:val="22"/>
              </w:rPr>
              <w:t xml:space="preserve">§ 4 ust. 2 </w:t>
            </w:r>
          </w:p>
        </w:tc>
        <w:tc>
          <w:tcPr>
            <w:tcW w:w="1736" w:type="dxa"/>
          </w:tcPr>
          <w:p w14:paraId="5052C55A" w14:textId="6265499F" w:rsidR="00D11B80" w:rsidRPr="00EE1C60" w:rsidRDefault="00D11B80" w:rsidP="00EE1C60">
            <w:pPr>
              <w:rPr>
                <w:rFonts w:cs="Times New Roman"/>
                <w:sz w:val="22"/>
              </w:rPr>
            </w:pPr>
            <w:r w:rsidRPr="00EE1C60">
              <w:rPr>
                <w:rFonts w:cs="Times New Roman"/>
                <w:sz w:val="22"/>
              </w:rPr>
              <w:t>Prokurator Krajowy</w:t>
            </w:r>
          </w:p>
        </w:tc>
        <w:tc>
          <w:tcPr>
            <w:tcW w:w="5437" w:type="dxa"/>
          </w:tcPr>
          <w:p w14:paraId="1269FB3E" w14:textId="282C6864" w:rsidR="00D11B80" w:rsidRPr="00EE1C60" w:rsidRDefault="00D11B80" w:rsidP="00EE1C60">
            <w:pPr>
              <w:autoSpaceDE w:val="0"/>
              <w:autoSpaceDN w:val="0"/>
              <w:adjustRightInd w:val="0"/>
              <w:jc w:val="both"/>
              <w:rPr>
                <w:rFonts w:cs="Times New Roman"/>
                <w:sz w:val="22"/>
              </w:rPr>
            </w:pPr>
            <w:r w:rsidRPr="00EE1C60">
              <w:rPr>
                <w:rFonts w:cs="Times New Roman"/>
                <w:sz w:val="22"/>
              </w:rPr>
              <w:t>Końcowo wskazać należy, iż w § 3 błędnie wprowadzone zostało oznaczenie ust. 1 w sytuacji, gdy brak jest dalszych ustępów w tej jednostce redakcyjnej. Z kolei § 4 ust. 2 po słowie „portalu" winien zostać uzupełniony o „informacyjnego", a w ust. 3 winno zostać wykreślone słowo „procesowych" po słowie „pism".</w:t>
            </w:r>
          </w:p>
        </w:tc>
        <w:tc>
          <w:tcPr>
            <w:tcW w:w="4624" w:type="dxa"/>
          </w:tcPr>
          <w:p w14:paraId="2C62C603" w14:textId="77777777" w:rsidR="00D11B80" w:rsidRPr="00EE1C60" w:rsidRDefault="00C66A08"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uwzględniona. </w:t>
            </w:r>
          </w:p>
          <w:p w14:paraId="06D8426F" w14:textId="3709DD8E" w:rsidR="008B3A47" w:rsidRPr="00EE1C60" w:rsidRDefault="008B3A47"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Ujednolicono projekt w zakresie użycia wyrazu „procesowych”.</w:t>
            </w:r>
          </w:p>
        </w:tc>
      </w:tr>
      <w:tr w:rsidR="00D11B80" w:rsidRPr="00EE1C60" w14:paraId="537041BF" w14:textId="77777777" w:rsidTr="005178F6">
        <w:trPr>
          <w:trHeight w:val="1098"/>
        </w:trPr>
        <w:tc>
          <w:tcPr>
            <w:tcW w:w="830" w:type="dxa"/>
          </w:tcPr>
          <w:p w14:paraId="41906F96" w14:textId="31F8E6EF" w:rsidR="00D11B80" w:rsidRPr="009A0263" w:rsidRDefault="00D11B80" w:rsidP="009A0263">
            <w:pPr>
              <w:pStyle w:val="Akapitzlist"/>
              <w:numPr>
                <w:ilvl w:val="0"/>
                <w:numId w:val="4"/>
              </w:numPr>
              <w:tabs>
                <w:tab w:val="left" w:pos="360"/>
              </w:tabs>
              <w:jc w:val="center"/>
              <w:rPr>
                <w:rFonts w:cs="Times New Roman"/>
                <w:sz w:val="22"/>
              </w:rPr>
            </w:pPr>
            <w:bookmarkStart w:id="0" w:name="_Hlk219470072"/>
          </w:p>
        </w:tc>
        <w:tc>
          <w:tcPr>
            <w:tcW w:w="1682" w:type="dxa"/>
          </w:tcPr>
          <w:p w14:paraId="5D1595CC" w14:textId="2229FA3D" w:rsidR="00D11B80" w:rsidRPr="00EE1C60" w:rsidRDefault="00013EF0" w:rsidP="00EE1C60">
            <w:pPr>
              <w:jc w:val="center"/>
              <w:rPr>
                <w:rFonts w:cs="Times New Roman"/>
                <w:sz w:val="22"/>
              </w:rPr>
            </w:pPr>
            <w:r w:rsidRPr="00EE1C60">
              <w:rPr>
                <w:rFonts w:cs="Times New Roman"/>
                <w:sz w:val="22"/>
              </w:rPr>
              <w:t>Ogólna</w:t>
            </w:r>
          </w:p>
        </w:tc>
        <w:tc>
          <w:tcPr>
            <w:tcW w:w="1736" w:type="dxa"/>
          </w:tcPr>
          <w:p w14:paraId="202097D1" w14:textId="5E392A19" w:rsidR="00D11B80" w:rsidRPr="00EE1C60" w:rsidRDefault="00D11B80" w:rsidP="00EE1C60">
            <w:pPr>
              <w:rPr>
                <w:rFonts w:cs="Times New Roman"/>
                <w:sz w:val="22"/>
              </w:rPr>
            </w:pPr>
            <w:r w:rsidRPr="00EE1C60">
              <w:rPr>
                <w:rFonts w:cs="Times New Roman"/>
                <w:sz w:val="22"/>
              </w:rPr>
              <w:t xml:space="preserve">Sąd Apelacyjny w </w:t>
            </w:r>
            <w:r w:rsidR="0063541E" w:rsidRPr="00EE1C60">
              <w:rPr>
                <w:rFonts w:cs="Times New Roman"/>
                <w:sz w:val="22"/>
              </w:rPr>
              <w:t>Warszawie</w:t>
            </w:r>
          </w:p>
        </w:tc>
        <w:tc>
          <w:tcPr>
            <w:tcW w:w="5437" w:type="dxa"/>
          </w:tcPr>
          <w:p w14:paraId="404AC867" w14:textId="4D2E19D4" w:rsidR="0063541E" w:rsidRPr="00EE1C60" w:rsidRDefault="00896474" w:rsidP="00EE1C60">
            <w:pPr>
              <w:autoSpaceDE w:val="0"/>
              <w:autoSpaceDN w:val="0"/>
              <w:adjustRightInd w:val="0"/>
              <w:jc w:val="both"/>
              <w:rPr>
                <w:rFonts w:cs="Times New Roman"/>
                <w:sz w:val="22"/>
              </w:rPr>
            </w:pPr>
            <w:r w:rsidRPr="00EE1C60">
              <w:rPr>
                <w:rFonts w:cs="Times New Roman"/>
                <w:sz w:val="22"/>
              </w:rPr>
              <w:t>Z</w:t>
            </w:r>
            <w:r w:rsidR="0063541E" w:rsidRPr="00EE1C60">
              <w:rPr>
                <w:rFonts w:cs="Times New Roman"/>
                <w:sz w:val="22"/>
              </w:rPr>
              <w:t xml:space="preserve">głoszono </w:t>
            </w:r>
            <w:r w:rsidR="00FE173E" w:rsidRPr="00EE1C60">
              <w:rPr>
                <w:rFonts w:cs="Times New Roman"/>
                <w:sz w:val="22"/>
              </w:rPr>
              <w:t>uwagę,</w:t>
            </w:r>
            <w:r w:rsidR="0063541E" w:rsidRPr="00EE1C60">
              <w:rPr>
                <w:rFonts w:cs="Times New Roman"/>
                <w:sz w:val="22"/>
              </w:rPr>
              <w:t xml:space="preserve"> aby w projekcie uwzględnić zapis o treści:</w:t>
            </w:r>
          </w:p>
          <w:p w14:paraId="476EA716" w14:textId="4289721C" w:rsidR="0063541E" w:rsidRPr="00EE1C60" w:rsidRDefault="0063541E" w:rsidP="00EE1C60">
            <w:pPr>
              <w:autoSpaceDE w:val="0"/>
              <w:autoSpaceDN w:val="0"/>
              <w:adjustRightInd w:val="0"/>
              <w:jc w:val="both"/>
              <w:rPr>
                <w:rFonts w:cs="Times New Roman"/>
                <w:sz w:val="22"/>
              </w:rPr>
            </w:pPr>
            <w:r w:rsidRPr="00EE1C60">
              <w:rPr>
                <w:rFonts w:cs="Times New Roman"/>
                <w:sz w:val="22"/>
              </w:rPr>
              <w:t>„1. Dyrektor, któremu powierzono wykonywanie zadań związanych z utrzymaniem i</w:t>
            </w:r>
            <w:r w:rsidR="00013EF0" w:rsidRPr="00EE1C60">
              <w:rPr>
                <w:rFonts w:cs="Times New Roman"/>
                <w:sz w:val="22"/>
              </w:rPr>
              <w:t xml:space="preserve"> </w:t>
            </w:r>
            <w:r w:rsidRPr="00EE1C60">
              <w:rPr>
                <w:rFonts w:cs="Times New Roman"/>
                <w:sz w:val="22"/>
              </w:rPr>
              <w:t xml:space="preserve">rozwojem portalu informacyjnego zgodnie z art. 175da § 7 </w:t>
            </w:r>
            <w:proofErr w:type="spellStart"/>
            <w:r w:rsidRPr="00EE1C60">
              <w:rPr>
                <w:rFonts w:cs="Times New Roman"/>
                <w:sz w:val="22"/>
              </w:rPr>
              <w:t>p.u.s.p</w:t>
            </w:r>
            <w:proofErr w:type="spellEnd"/>
            <w:r w:rsidRPr="00EE1C60">
              <w:rPr>
                <w:rFonts w:cs="Times New Roman"/>
                <w:sz w:val="22"/>
              </w:rPr>
              <w:t>. informuje na stronie</w:t>
            </w:r>
            <w:r w:rsidR="00013EF0" w:rsidRPr="00EE1C60">
              <w:rPr>
                <w:rFonts w:cs="Times New Roman"/>
                <w:sz w:val="22"/>
              </w:rPr>
              <w:t xml:space="preserve"> </w:t>
            </w:r>
            <w:r w:rsidRPr="00EE1C60">
              <w:rPr>
                <w:rFonts w:cs="Times New Roman"/>
                <w:sz w:val="22"/>
              </w:rPr>
              <w:t>internetowej portalu informacyjnego w zakładce „Ograniczenia dostępności portalu” o</w:t>
            </w:r>
            <w:r w:rsidR="00013EF0" w:rsidRPr="00EE1C60">
              <w:rPr>
                <w:rFonts w:cs="Times New Roman"/>
                <w:sz w:val="22"/>
              </w:rPr>
              <w:t xml:space="preserve"> </w:t>
            </w:r>
            <w:r w:rsidRPr="00EE1C60">
              <w:rPr>
                <w:rFonts w:cs="Times New Roman"/>
                <w:sz w:val="22"/>
              </w:rPr>
              <w:t>ograniczeniach dostępności portalu informacyjnego trwających ponad 10 minut.</w:t>
            </w:r>
          </w:p>
          <w:p w14:paraId="1D6CE533" w14:textId="3AAB5ED3" w:rsidR="00D11B80" w:rsidRPr="00EE1C60" w:rsidRDefault="0063541E" w:rsidP="00EE1C60">
            <w:pPr>
              <w:autoSpaceDE w:val="0"/>
              <w:autoSpaceDN w:val="0"/>
              <w:adjustRightInd w:val="0"/>
              <w:jc w:val="both"/>
              <w:rPr>
                <w:rFonts w:cs="Times New Roman"/>
                <w:sz w:val="22"/>
              </w:rPr>
            </w:pPr>
            <w:r w:rsidRPr="00EE1C60">
              <w:rPr>
                <w:rFonts w:cs="Times New Roman"/>
                <w:sz w:val="22"/>
              </w:rPr>
              <w:t>2. W zakładce umieszcza się informacje o dacie i godzinie wystąpienia ograniczenia</w:t>
            </w:r>
            <w:r w:rsidR="00013EF0" w:rsidRPr="00EE1C60">
              <w:rPr>
                <w:rFonts w:cs="Times New Roman"/>
                <w:sz w:val="22"/>
              </w:rPr>
              <w:t xml:space="preserve"> </w:t>
            </w:r>
            <w:r w:rsidRPr="00EE1C60">
              <w:rPr>
                <w:rFonts w:cs="Times New Roman"/>
                <w:sz w:val="22"/>
              </w:rPr>
              <w:t xml:space="preserve">dostępności portalu, w miarę </w:t>
            </w:r>
            <w:r w:rsidRPr="00EE1C60">
              <w:rPr>
                <w:rFonts w:cs="Times New Roman"/>
                <w:sz w:val="22"/>
              </w:rPr>
              <w:lastRenderedPageBreak/>
              <w:t>możliwości o dacie i godzinie przywrócenia dostępności portalu, zakresie terytorialnym ze wskazaniem apelacji (o ile dotyczy), zakresie podmiotowym osób objętych ograniczeniem dostępności (o ile dotyczy), zakresie przedmiotowym ograniczenia dostępności ze wskazaniem funkcjonalności portalu, które nie były dostępne (o ile dotyczy), a także informację czy była to planowana niedostępność oraz z jakim wyprzedzeniem została umieszona informacja na stronie głównej portalu.”</w:t>
            </w:r>
          </w:p>
        </w:tc>
        <w:tc>
          <w:tcPr>
            <w:tcW w:w="4624" w:type="dxa"/>
          </w:tcPr>
          <w:p w14:paraId="12C313B1" w14:textId="38E1EDFD" w:rsidR="00013EF0" w:rsidRPr="00EE1C60" w:rsidRDefault="00013EF0"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w:t>
            </w:r>
            <w:r w:rsidR="000A6802" w:rsidRPr="00EE1C60">
              <w:rPr>
                <w:rStyle w:val="cf01"/>
                <w:rFonts w:ascii="Times New Roman" w:hAnsi="Times New Roman" w:cs="Times New Roman"/>
                <w:b/>
                <w:bCs/>
                <w:sz w:val="22"/>
                <w:szCs w:val="22"/>
              </w:rPr>
              <w:t>nieuwzględniona</w:t>
            </w:r>
            <w:r w:rsidRPr="00EE1C60">
              <w:rPr>
                <w:rStyle w:val="cf01"/>
                <w:rFonts w:ascii="Times New Roman" w:hAnsi="Times New Roman" w:cs="Times New Roman"/>
                <w:b/>
                <w:bCs/>
                <w:sz w:val="22"/>
                <w:szCs w:val="22"/>
              </w:rPr>
              <w:t>.</w:t>
            </w:r>
          </w:p>
          <w:p w14:paraId="75A198CF" w14:textId="00F7B039" w:rsidR="00013EF0" w:rsidRPr="00EE1C60" w:rsidRDefault="00013EF0"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W postępowaniu karnym jest fakultatywna możliwość składania pism, </w:t>
            </w:r>
            <w:r w:rsidR="00882742" w:rsidRPr="00EE1C60">
              <w:rPr>
                <w:rStyle w:val="cf01"/>
                <w:rFonts w:ascii="Times New Roman" w:hAnsi="Times New Roman" w:cs="Times New Roman"/>
                <w:sz w:val="22"/>
                <w:szCs w:val="22"/>
              </w:rPr>
              <w:t xml:space="preserve">a </w:t>
            </w:r>
            <w:r w:rsidRPr="00EE1C60">
              <w:rPr>
                <w:rStyle w:val="cf01"/>
                <w:rFonts w:ascii="Times New Roman" w:hAnsi="Times New Roman" w:cs="Times New Roman"/>
                <w:sz w:val="22"/>
                <w:szCs w:val="22"/>
              </w:rPr>
              <w:t>nie obligatoryjna. Nadto, w przypadku gdy z powodu ograniczeń będzie uniemożliwiony dostęp do portalu</w:t>
            </w:r>
            <w:r w:rsidR="00247184" w:rsidRPr="00EE1C60">
              <w:rPr>
                <w:rStyle w:val="cf01"/>
                <w:rFonts w:ascii="Times New Roman" w:hAnsi="Times New Roman" w:cs="Times New Roman"/>
                <w:sz w:val="22"/>
                <w:szCs w:val="22"/>
              </w:rPr>
              <w:t xml:space="preserve"> informacyjnego</w:t>
            </w:r>
            <w:r w:rsidRPr="00EE1C60">
              <w:rPr>
                <w:rStyle w:val="cf01"/>
                <w:rFonts w:ascii="Times New Roman" w:hAnsi="Times New Roman" w:cs="Times New Roman"/>
                <w:sz w:val="22"/>
                <w:szCs w:val="22"/>
              </w:rPr>
              <w:t xml:space="preserve">, wówczas służy prawo do złożenia wniosku o przywrócenie terminu. Na marginesie należy zauważyć, </w:t>
            </w:r>
            <w:r w:rsidR="00882742" w:rsidRPr="00EE1C60">
              <w:rPr>
                <w:rStyle w:val="cf01"/>
                <w:rFonts w:ascii="Times New Roman" w:hAnsi="Times New Roman" w:cs="Times New Roman"/>
                <w:sz w:val="22"/>
                <w:szCs w:val="22"/>
              </w:rPr>
              <w:t>ż</w:t>
            </w:r>
            <w:r w:rsidRPr="00EE1C60">
              <w:rPr>
                <w:rStyle w:val="cf01"/>
                <w:rFonts w:ascii="Times New Roman" w:hAnsi="Times New Roman" w:cs="Times New Roman"/>
                <w:sz w:val="22"/>
                <w:szCs w:val="22"/>
              </w:rPr>
              <w:t>e portal informacyjny obsługuje zarówno post</w:t>
            </w:r>
            <w:r w:rsidR="00247184" w:rsidRPr="00EE1C60">
              <w:rPr>
                <w:rStyle w:val="cf01"/>
                <w:rFonts w:ascii="Times New Roman" w:hAnsi="Times New Roman" w:cs="Times New Roman"/>
                <w:sz w:val="22"/>
                <w:szCs w:val="22"/>
              </w:rPr>
              <w:t>ę</w:t>
            </w:r>
            <w:r w:rsidRPr="00EE1C60">
              <w:rPr>
                <w:rStyle w:val="cf01"/>
                <w:rFonts w:ascii="Times New Roman" w:hAnsi="Times New Roman" w:cs="Times New Roman"/>
                <w:sz w:val="22"/>
                <w:szCs w:val="22"/>
              </w:rPr>
              <w:t>powanie karne</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jak i cywilne. W cywilnym post</w:t>
            </w:r>
            <w:r w:rsidR="00247184" w:rsidRPr="00EE1C60">
              <w:rPr>
                <w:rStyle w:val="cf01"/>
                <w:rFonts w:ascii="Times New Roman" w:hAnsi="Times New Roman" w:cs="Times New Roman"/>
                <w:sz w:val="22"/>
                <w:szCs w:val="22"/>
              </w:rPr>
              <w:t>ę</w:t>
            </w:r>
            <w:r w:rsidRPr="00EE1C60">
              <w:rPr>
                <w:rStyle w:val="cf01"/>
                <w:rFonts w:ascii="Times New Roman" w:hAnsi="Times New Roman" w:cs="Times New Roman"/>
                <w:sz w:val="22"/>
                <w:szCs w:val="22"/>
              </w:rPr>
              <w:t>powaniu z uwagi na przewidzian</w:t>
            </w:r>
            <w:r w:rsidR="00247184" w:rsidRPr="00EE1C60">
              <w:rPr>
                <w:rStyle w:val="cf01"/>
                <w:rFonts w:ascii="Times New Roman" w:hAnsi="Times New Roman" w:cs="Times New Roman"/>
                <w:sz w:val="22"/>
                <w:szCs w:val="22"/>
              </w:rPr>
              <w:t>ą</w:t>
            </w:r>
            <w:r w:rsidRPr="00EE1C60">
              <w:rPr>
                <w:rStyle w:val="cf01"/>
                <w:rFonts w:ascii="Times New Roman" w:hAnsi="Times New Roman" w:cs="Times New Roman"/>
                <w:sz w:val="22"/>
                <w:szCs w:val="22"/>
              </w:rPr>
              <w:t xml:space="preserve"> obligatoryjność wnoszenia </w:t>
            </w:r>
            <w:r w:rsidRPr="00EE1C60">
              <w:rPr>
                <w:rStyle w:val="cf01"/>
                <w:rFonts w:ascii="Times New Roman" w:hAnsi="Times New Roman" w:cs="Times New Roman"/>
                <w:sz w:val="22"/>
                <w:szCs w:val="22"/>
              </w:rPr>
              <w:lastRenderedPageBreak/>
              <w:t>pism za</w:t>
            </w:r>
            <w:r w:rsidR="00882742" w:rsidRPr="00EE1C60">
              <w:rPr>
                <w:rStyle w:val="cf01"/>
                <w:rFonts w:ascii="Times New Roman" w:hAnsi="Times New Roman" w:cs="Times New Roman"/>
                <w:sz w:val="22"/>
                <w:szCs w:val="22"/>
              </w:rPr>
              <w:t xml:space="preserve"> </w:t>
            </w:r>
            <w:r w:rsidRPr="00EE1C60">
              <w:rPr>
                <w:rStyle w:val="cf01"/>
                <w:rFonts w:ascii="Times New Roman" w:hAnsi="Times New Roman" w:cs="Times New Roman"/>
                <w:sz w:val="22"/>
                <w:szCs w:val="22"/>
              </w:rPr>
              <w:t>pośrednictwem portalu przez wskazane w k.p.c. podmioty, zaistniała konieczność na stworzenie mechanizmów związanych z postępowaniem w przypadku niedostępności portalu</w:t>
            </w:r>
            <w:r w:rsidR="00247184" w:rsidRPr="00EE1C60">
              <w:rPr>
                <w:rStyle w:val="cf01"/>
                <w:rFonts w:ascii="Times New Roman" w:hAnsi="Times New Roman" w:cs="Times New Roman"/>
                <w:sz w:val="22"/>
                <w:szCs w:val="22"/>
              </w:rPr>
              <w:t xml:space="preserve"> informacyjnego</w:t>
            </w:r>
            <w:r w:rsidRPr="00EE1C60">
              <w:rPr>
                <w:rStyle w:val="cf01"/>
                <w:rFonts w:ascii="Times New Roman" w:hAnsi="Times New Roman" w:cs="Times New Roman"/>
                <w:sz w:val="22"/>
                <w:szCs w:val="22"/>
              </w:rPr>
              <w:t>.</w:t>
            </w:r>
            <w:r w:rsidR="00DC2732" w:rsidRPr="00EE1C60">
              <w:rPr>
                <w:rStyle w:val="cf01"/>
                <w:rFonts w:ascii="Times New Roman" w:hAnsi="Times New Roman" w:cs="Times New Roman"/>
                <w:sz w:val="22"/>
                <w:szCs w:val="22"/>
              </w:rPr>
              <w:t xml:space="preserve"> </w:t>
            </w:r>
          </w:p>
        </w:tc>
      </w:tr>
      <w:bookmarkEnd w:id="0"/>
    </w:tbl>
    <w:p w14:paraId="4207EFE1" w14:textId="7B264814" w:rsidR="003D611E" w:rsidRPr="00EE1C60" w:rsidRDefault="003D611E" w:rsidP="00EE1C60">
      <w:pPr>
        <w:spacing w:after="0" w:line="240" w:lineRule="auto"/>
        <w:rPr>
          <w:rFonts w:cs="Times New Roman"/>
          <w:sz w:val="22"/>
        </w:rPr>
      </w:pPr>
    </w:p>
    <w:p w14:paraId="2C0B94C5" w14:textId="44B1D8A8" w:rsidR="002F7E4B" w:rsidRPr="00EE1C60" w:rsidRDefault="002F7E4B" w:rsidP="00EE1C60">
      <w:pPr>
        <w:spacing w:after="0" w:line="240" w:lineRule="auto"/>
        <w:rPr>
          <w:rFonts w:cs="Times New Roman"/>
          <w:sz w:val="22"/>
        </w:rPr>
      </w:pPr>
    </w:p>
    <w:sectPr w:rsidR="002F7E4B" w:rsidRPr="00EE1C60" w:rsidSect="00463BE3">
      <w:footerReference w:type="default" r:id="rId8"/>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3E59" w14:textId="77777777" w:rsidR="00BD055C" w:rsidRDefault="00BD055C" w:rsidP="00C57AB0">
      <w:pPr>
        <w:spacing w:after="0" w:line="240" w:lineRule="auto"/>
      </w:pPr>
      <w:r>
        <w:separator/>
      </w:r>
    </w:p>
  </w:endnote>
  <w:endnote w:type="continuationSeparator" w:id="0">
    <w:p w14:paraId="70F6D022" w14:textId="77777777" w:rsidR="00BD055C" w:rsidRDefault="00BD055C" w:rsidP="00C57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660672"/>
      <w:docPartObj>
        <w:docPartGallery w:val="Page Numbers (Bottom of Page)"/>
        <w:docPartUnique/>
      </w:docPartObj>
    </w:sdtPr>
    <w:sdtEndPr/>
    <w:sdtContent>
      <w:p w14:paraId="6824481D" w14:textId="47225BBD" w:rsidR="00C57AB0" w:rsidRDefault="00C57AB0">
        <w:pPr>
          <w:pStyle w:val="Stopka"/>
          <w:jc w:val="center"/>
        </w:pPr>
        <w:r>
          <w:fldChar w:fldCharType="begin"/>
        </w:r>
        <w:r>
          <w:instrText>PAGE   \* MERGEFORMAT</w:instrText>
        </w:r>
        <w:r>
          <w:fldChar w:fldCharType="separate"/>
        </w:r>
        <w:r>
          <w:t>2</w:t>
        </w:r>
        <w:r>
          <w:fldChar w:fldCharType="end"/>
        </w:r>
      </w:p>
    </w:sdtContent>
  </w:sdt>
  <w:p w14:paraId="51E686EB" w14:textId="77777777" w:rsidR="00C57AB0" w:rsidRDefault="00C57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29079" w14:textId="77777777" w:rsidR="00BD055C" w:rsidRDefault="00BD055C" w:rsidP="00C57AB0">
      <w:pPr>
        <w:spacing w:after="0" w:line="240" w:lineRule="auto"/>
      </w:pPr>
      <w:r>
        <w:separator/>
      </w:r>
    </w:p>
  </w:footnote>
  <w:footnote w:type="continuationSeparator" w:id="0">
    <w:p w14:paraId="5F581F37" w14:textId="77777777" w:rsidR="00BD055C" w:rsidRDefault="00BD055C" w:rsidP="00C57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E571E"/>
    <w:multiLevelType w:val="hybridMultilevel"/>
    <w:tmpl w:val="316E8EB6"/>
    <w:lvl w:ilvl="0" w:tplc="5A26C368">
      <w:start w:val="1"/>
      <w:numFmt w:val="decimal"/>
      <w:lvlText w:val="%1)"/>
      <w:lvlJc w:val="left"/>
      <w:pPr>
        <w:ind w:left="720" w:hanging="360"/>
      </w:pPr>
      <w:rPr>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E0D06A1"/>
    <w:multiLevelType w:val="hybridMultilevel"/>
    <w:tmpl w:val="9852FBC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6C4A21E8"/>
    <w:multiLevelType w:val="hybridMultilevel"/>
    <w:tmpl w:val="103AB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9106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4359942">
    <w:abstractNumId w:val="1"/>
  </w:num>
  <w:num w:numId="3" w16cid:durableId="273440971">
    <w:abstractNumId w:val="0"/>
  </w:num>
  <w:num w:numId="4" w16cid:durableId="946889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13EF0"/>
    <w:rsid w:val="00030EE1"/>
    <w:rsid w:val="00030FED"/>
    <w:rsid w:val="00034F10"/>
    <w:rsid w:val="0004003F"/>
    <w:rsid w:val="000435FB"/>
    <w:rsid w:val="00044083"/>
    <w:rsid w:val="0005541B"/>
    <w:rsid w:val="000639B7"/>
    <w:rsid w:val="00083E6B"/>
    <w:rsid w:val="000A54B3"/>
    <w:rsid w:val="000A6802"/>
    <w:rsid w:val="000B3E78"/>
    <w:rsid w:val="000B4394"/>
    <w:rsid w:val="000B44A5"/>
    <w:rsid w:val="000C1516"/>
    <w:rsid w:val="000C5BA7"/>
    <w:rsid w:val="000D09CA"/>
    <w:rsid w:val="000E2F7F"/>
    <w:rsid w:val="000E5E20"/>
    <w:rsid w:val="000E7254"/>
    <w:rsid w:val="000F162C"/>
    <w:rsid w:val="000F6823"/>
    <w:rsid w:val="000F7C31"/>
    <w:rsid w:val="0010039E"/>
    <w:rsid w:val="00110FBE"/>
    <w:rsid w:val="001140BB"/>
    <w:rsid w:val="00115D4B"/>
    <w:rsid w:val="001174FF"/>
    <w:rsid w:val="00123A1D"/>
    <w:rsid w:val="00123F5D"/>
    <w:rsid w:val="0013137A"/>
    <w:rsid w:val="00142A32"/>
    <w:rsid w:val="00155802"/>
    <w:rsid w:val="001561D9"/>
    <w:rsid w:val="001620CF"/>
    <w:rsid w:val="00162230"/>
    <w:rsid w:val="001721F2"/>
    <w:rsid w:val="00172B2B"/>
    <w:rsid w:val="00184243"/>
    <w:rsid w:val="00184BD3"/>
    <w:rsid w:val="001B141F"/>
    <w:rsid w:val="001B5D35"/>
    <w:rsid w:val="001C79B2"/>
    <w:rsid w:val="001D0A7C"/>
    <w:rsid w:val="001D2343"/>
    <w:rsid w:val="001D70A8"/>
    <w:rsid w:val="001D7CA8"/>
    <w:rsid w:val="001E4DA2"/>
    <w:rsid w:val="001E5209"/>
    <w:rsid w:val="001E7E9B"/>
    <w:rsid w:val="001F3DF9"/>
    <w:rsid w:val="00201A4D"/>
    <w:rsid w:val="002062E2"/>
    <w:rsid w:val="00214A8C"/>
    <w:rsid w:val="00236701"/>
    <w:rsid w:val="00243FC4"/>
    <w:rsid w:val="00247184"/>
    <w:rsid w:val="00254EA8"/>
    <w:rsid w:val="002551A7"/>
    <w:rsid w:val="002702B7"/>
    <w:rsid w:val="00283F22"/>
    <w:rsid w:val="0028613D"/>
    <w:rsid w:val="002A0C4D"/>
    <w:rsid w:val="002A1A97"/>
    <w:rsid w:val="002A7D00"/>
    <w:rsid w:val="002B284E"/>
    <w:rsid w:val="002B34AE"/>
    <w:rsid w:val="002B3953"/>
    <w:rsid w:val="002C1EEB"/>
    <w:rsid w:val="002C5C24"/>
    <w:rsid w:val="002D1950"/>
    <w:rsid w:val="002D22A2"/>
    <w:rsid w:val="002D7FE1"/>
    <w:rsid w:val="002E0BC6"/>
    <w:rsid w:val="002E5408"/>
    <w:rsid w:val="002E5D52"/>
    <w:rsid w:val="002F09A4"/>
    <w:rsid w:val="002F7E4B"/>
    <w:rsid w:val="00303C4F"/>
    <w:rsid w:val="00303FB1"/>
    <w:rsid w:val="00312AB5"/>
    <w:rsid w:val="00315A09"/>
    <w:rsid w:val="00316B54"/>
    <w:rsid w:val="00322C71"/>
    <w:rsid w:val="0033450F"/>
    <w:rsid w:val="00383674"/>
    <w:rsid w:val="003A5BB0"/>
    <w:rsid w:val="003A6B05"/>
    <w:rsid w:val="003B1C38"/>
    <w:rsid w:val="003B23FA"/>
    <w:rsid w:val="003D0EE0"/>
    <w:rsid w:val="003D138E"/>
    <w:rsid w:val="003D1ECC"/>
    <w:rsid w:val="003D3FFB"/>
    <w:rsid w:val="003D4A50"/>
    <w:rsid w:val="003D611E"/>
    <w:rsid w:val="003D6133"/>
    <w:rsid w:val="003D72FE"/>
    <w:rsid w:val="003E2AD5"/>
    <w:rsid w:val="003E58B6"/>
    <w:rsid w:val="003F3852"/>
    <w:rsid w:val="00405A5D"/>
    <w:rsid w:val="00415CD9"/>
    <w:rsid w:val="00416510"/>
    <w:rsid w:val="00416EAA"/>
    <w:rsid w:val="004230D8"/>
    <w:rsid w:val="00434AB2"/>
    <w:rsid w:val="00445E45"/>
    <w:rsid w:val="00460B16"/>
    <w:rsid w:val="00463BE3"/>
    <w:rsid w:val="00465149"/>
    <w:rsid w:val="00473B8D"/>
    <w:rsid w:val="00482379"/>
    <w:rsid w:val="00486B3C"/>
    <w:rsid w:val="00490605"/>
    <w:rsid w:val="0049699F"/>
    <w:rsid w:val="004C3A22"/>
    <w:rsid w:val="004D18F2"/>
    <w:rsid w:val="004D764D"/>
    <w:rsid w:val="004E296E"/>
    <w:rsid w:val="005040B7"/>
    <w:rsid w:val="0050635C"/>
    <w:rsid w:val="005074F6"/>
    <w:rsid w:val="005178F6"/>
    <w:rsid w:val="00517C65"/>
    <w:rsid w:val="00520EBD"/>
    <w:rsid w:val="00534571"/>
    <w:rsid w:val="00537021"/>
    <w:rsid w:val="005428D9"/>
    <w:rsid w:val="00542990"/>
    <w:rsid w:val="00543EF6"/>
    <w:rsid w:val="00555D8E"/>
    <w:rsid w:val="0055737F"/>
    <w:rsid w:val="00560BD1"/>
    <w:rsid w:val="00561243"/>
    <w:rsid w:val="00566E22"/>
    <w:rsid w:val="005718EA"/>
    <w:rsid w:val="00583572"/>
    <w:rsid w:val="005A43E9"/>
    <w:rsid w:val="005A4F14"/>
    <w:rsid w:val="005B1B5B"/>
    <w:rsid w:val="005B285B"/>
    <w:rsid w:val="005C2B12"/>
    <w:rsid w:val="005C6E1E"/>
    <w:rsid w:val="005D4E03"/>
    <w:rsid w:val="005D7320"/>
    <w:rsid w:val="005E04CC"/>
    <w:rsid w:val="005E279B"/>
    <w:rsid w:val="005F64FE"/>
    <w:rsid w:val="005F71C1"/>
    <w:rsid w:val="005F7B97"/>
    <w:rsid w:val="00605483"/>
    <w:rsid w:val="0061513B"/>
    <w:rsid w:val="0063541E"/>
    <w:rsid w:val="006516A0"/>
    <w:rsid w:val="006545E2"/>
    <w:rsid w:val="00660F44"/>
    <w:rsid w:val="00667ABC"/>
    <w:rsid w:val="00670B6A"/>
    <w:rsid w:val="00672E69"/>
    <w:rsid w:val="006848AC"/>
    <w:rsid w:val="00692469"/>
    <w:rsid w:val="00692E69"/>
    <w:rsid w:val="006B5B13"/>
    <w:rsid w:val="006B5E2F"/>
    <w:rsid w:val="006C2310"/>
    <w:rsid w:val="006E2F61"/>
    <w:rsid w:val="006E5FC0"/>
    <w:rsid w:val="006F253F"/>
    <w:rsid w:val="006F3DBE"/>
    <w:rsid w:val="006F5FC8"/>
    <w:rsid w:val="00700D15"/>
    <w:rsid w:val="00700D1F"/>
    <w:rsid w:val="00710030"/>
    <w:rsid w:val="007116C2"/>
    <w:rsid w:val="00711745"/>
    <w:rsid w:val="00724375"/>
    <w:rsid w:val="00736E9A"/>
    <w:rsid w:val="00741D8D"/>
    <w:rsid w:val="00743160"/>
    <w:rsid w:val="00743493"/>
    <w:rsid w:val="0074415F"/>
    <w:rsid w:val="007514FA"/>
    <w:rsid w:val="00755C7F"/>
    <w:rsid w:val="00792A8E"/>
    <w:rsid w:val="007A39B2"/>
    <w:rsid w:val="007A4B5F"/>
    <w:rsid w:val="007B7DEC"/>
    <w:rsid w:val="007C69B9"/>
    <w:rsid w:val="007C7728"/>
    <w:rsid w:val="007D5FB0"/>
    <w:rsid w:val="007D7353"/>
    <w:rsid w:val="007E4B02"/>
    <w:rsid w:val="007E560F"/>
    <w:rsid w:val="007F33FA"/>
    <w:rsid w:val="007F66D7"/>
    <w:rsid w:val="00803BE0"/>
    <w:rsid w:val="00803CF8"/>
    <w:rsid w:val="00813ECF"/>
    <w:rsid w:val="008244FF"/>
    <w:rsid w:val="00826F51"/>
    <w:rsid w:val="00831AFB"/>
    <w:rsid w:val="008407B8"/>
    <w:rsid w:val="00844D68"/>
    <w:rsid w:val="00847E56"/>
    <w:rsid w:val="008510BC"/>
    <w:rsid w:val="0085224B"/>
    <w:rsid w:val="00861C0E"/>
    <w:rsid w:val="00865F09"/>
    <w:rsid w:val="00870489"/>
    <w:rsid w:val="008707D8"/>
    <w:rsid w:val="00874170"/>
    <w:rsid w:val="00875303"/>
    <w:rsid w:val="00882742"/>
    <w:rsid w:val="0088680A"/>
    <w:rsid w:val="00893F33"/>
    <w:rsid w:val="00896474"/>
    <w:rsid w:val="008A16DE"/>
    <w:rsid w:val="008A6070"/>
    <w:rsid w:val="008B3A47"/>
    <w:rsid w:val="008C52F6"/>
    <w:rsid w:val="008C5479"/>
    <w:rsid w:val="008D26D5"/>
    <w:rsid w:val="008D4C70"/>
    <w:rsid w:val="008F2D38"/>
    <w:rsid w:val="008F5334"/>
    <w:rsid w:val="009031C3"/>
    <w:rsid w:val="009125DC"/>
    <w:rsid w:val="009146B7"/>
    <w:rsid w:val="0092155F"/>
    <w:rsid w:val="00931844"/>
    <w:rsid w:val="00934975"/>
    <w:rsid w:val="009432EF"/>
    <w:rsid w:val="00944781"/>
    <w:rsid w:val="009467A3"/>
    <w:rsid w:val="00950E3B"/>
    <w:rsid w:val="00965F9C"/>
    <w:rsid w:val="009715EB"/>
    <w:rsid w:val="00971AC5"/>
    <w:rsid w:val="00986C32"/>
    <w:rsid w:val="00995428"/>
    <w:rsid w:val="009A0263"/>
    <w:rsid w:val="009B59FB"/>
    <w:rsid w:val="009B601C"/>
    <w:rsid w:val="009B6766"/>
    <w:rsid w:val="009D36DD"/>
    <w:rsid w:val="009D4AC3"/>
    <w:rsid w:val="009D4CE2"/>
    <w:rsid w:val="009F4C71"/>
    <w:rsid w:val="00A01459"/>
    <w:rsid w:val="00A0460F"/>
    <w:rsid w:val="00A10E90"/>
    <w:rsid w:val="00A12AF9"/>
    <w:rsid w:val="00A17B3B"/>
    <w:rsid w:val="00A3692D"/>
    <w:rsid w:val="00A50EB3"/>
    <w:rsid w:val="00A54B0D"/>
    <w:rsid w:val="00A568BD"/>
    <w:rsid w:val="00A57199"/>
    <w:rsid w:val="00A572D5"/>
    <w:rsid w:val="00A77E6F"/>
    <w:rsid w:val="00A80327"/>
    <w:rsid w:val="00A82470"/>
    <w:rsid w:val="00A86AB3"/>
    <w:rsid w:val="00A91016"/>
    <w:rsid w:val="00AA4C79"/>
    <w:rsid w:val="00AB7CFD"/>
    <w:rsid w:val="00AF0F0B"/>
    <w:rsid w:val="00AF19DC"/>
    <w:rsid w:val="00AF1C6D"/>
    <w:rsid w:val="00AF26D3"/>
    <w:rsid w:val="00B0115F"/>
    <w:rsid w:val="00B04190"/>
    <w:rsid w:val="00B15A83"/>
    <w:rsid w:val="00B15C36"/>
    <w:rsid w:val="00B16660"/>
    <w:rsid w:val="00B22B4A"/>
    <w:rsid w:val="00B23A61"/>
    <w:rsid w:val="00B310C8"/>
    <w:rsid w:val="00B32368"/>
    <w:rsid w:val="00B323A7"/>
    <w:rsid w:val="00B33E51"/>
    <w:rsid w:val="00B41526"/>
    <w:rsid w:val="00B42143"/>
    <w:rsid w:val="00B43CAC"/>
    <w:rsid w:val="00B45C43"/>
    <w:rsid w:val="00B47A77"/>
    <w:rsid w:val="00B50FF5"/>
    <w:rsid w:val="00B609F3"/>
    <w:rsid w:val="00B62148"/>
    <w:rsid w:val="00B74F3E"/>
    <w:rsid w:val="00B848BD"/>
    <w:rsid w:val="00B849F6"/>
    <w:rsid w:val="00B94829"/>
    <w:rsid w:val="00B94C86"/>
    <w:rsid w:val="00B96516"/>
    <w:rsid w:val="00BA6A16"/>
    <w:rsid w:val="00BB2EF3"/>
    <w:rsid w:val="00BB355C"/>
    <w:rsid w:val="00BC403D"/>
    <w:rsid w:val="00BD055C"/>
    <w:rsid w:val="00BD6EFF"/>
    <w:rsid w:val="00BD7DC5"/>
    <w:rsid w:val="00BE0FF2"/>
    <w:rsid w:val="00C020A0"/>
    <w:rsid w:val="00C060D2"/>
    <w:rsid w:val="00C12F2A"/>
    <w:rsid w:val="00C2090C"/>
    <w:rsid w:val="00C24401"/>
    <w:rsid w:val="00C27568"/>
    <w:rsid w:val="00C31542"/>
    <w:rsid w:val="00C318DF"/>
    <w:rsid w:val="00C31B9A"/>
    <w:rsid w:val="00C364A6"/>
    <w:rsid w:val="00C45BAF"/>
    <w:rsid w:val="00C46E4F"/>
    <w:rsid w:val="00C50987"/>
    <w:rsid w:val="00C5366E"/>
    <w:rsid w:val="00C57AB0"/>
    <w:rsid w:val="00C669E1"/>
    <w:rsid w:val="00C66A08"/>
    <w:rsid w:val="00C8022F"/>
    <w:rsid w:val="00C8146D"/>
    <w:rsid w:val="00C8298F"/>
    <w:rsid w:val="00C9251D"/>
    <w:rsid w:val="00C94063"/>
    <w:rsid w:val="00C9552F"/>
    <w:rsid w:val="00CA3B4F"/>
    <w:rsid w:val="00CA47F5"/>
    <w:rsid w:val="00CA749A"/>
    <w:rsid w:val="00CB5ED9"/>
    <w:rsid w:val="00CD691E"/>
    <w:rsid w:val="00CE4D74"/>
    <w:rsid w:val="00CE6F19"/>
    <w:rsid w:val="00CF7263"/>
    <w:rsid w:val="00D025CB"/>
    <w:rsid w:val="00D11B80"/>
    <w:rsid w:val="00D14F03"/>
    <w:rsid w:val="00D15291"/>
    <w:rsid w:val="00D225A5"/>
    <w:rsid w:val="00D24BF2"/>
    <w:rsid w:val="00D25ABC"/>
    <w:rsid w:val="00D34281"/>
    <w:rsid w:val="00D404FA"/>
    <w:rsid w:val="00D477ED"/>
    <w:rsid w:val="00D67E6D"/>
    <w:rsid w:val="00D713DF"/>
    <w:rsid w:val="00D75740"/>
    <w:rsid w:val="00D842C3"/>
    <w:rsid w:val="00D8694A"/>
    <w:rsid w:val="00D95734"/>
    <w:rsid w:val="00D96EF1"/>
    <w:rsid w:val="00DC0F12"/>
    <w:rsid w:val="00DC2732"/>
    <w:rsid w:val="00DC449B"/>
    <w:rsid w:val="00DC4864"/>
    <w:rsid w:val="00DC5203"/>
    <w:rsid w:val="00DE3418"/>
    <w:rsid w:val="00DF1278"/>
    <w:rsid w:val="00DF6B72"/>
    <w:rsid w:val="00E02A48"/>
    <w:rsid w:val="00E10717"/>
    <w:rsid w:val="00E21D01"/>
    <w:rsid w:val="00E43560"/>
    <w:rsid w:val="00E53684"/>
    <w:rsid w:val="00E540EF"/>
    <w:rsid w:val="00E67133"/>
    <w:rsid w:val="00E67EF7"/>
    <w:rsid w:val="00E72E0D"/>
    <w:rsid w:val="00E800A5"/>
    <w:rsid w:val="00E83D4C"/>
    <w:rsid w:val="00E85CF3"/>
    <w:rsid w:val="00E944C0"/>
    <w:rsid w:val="00E97822"/>
    <w:rsid w:val="00EA075A"/>
    <w:rsid w:val="00EA666B"/>
    <w:rsid w:val="00EB5667"/>
    <w:rsid w:val="00EC0DC3"/>
    <w:rsid w:val="00EC1FF8"/>
    <w:rsid w:val="00ED6EE3"/>
    <w:rsid w:val="00EE1C60"/>
    <w:rsid w:val="00EE2DD3"/>
    <w:rsid w:val="00EE4740"/>
    <w:rsid w:val="00EF146E"/>
    <w:rsid w:val="00EF155B"/>
    <w:rsid w:val="00EF7791"/>
    <w:rsid w:val="00F01B47"/>
    <w:rsid w:val="00F02CB2"/>
    <w:rsid w:val="00F05420"/>
    <w:rsid w:val="00F06057"/>
    <w:rsid w:val="00F2535E"/>
    <w:rsid w:val="00F273CC"/>
    <w:rsid w:val="00F317A5"/>
    <w:rsid w:val="00F37A15"/>
    <w:rsid w:val="00F46BCC"/>
    <w:rsid w:val="00F4715E"/>
    <w:rsid w:val="00F47993"/>
    <w:rsid w:val="00F47B28"/>
    <w:rsid w:val="00F47F9B"/>
    <w:rsid w:val="00F53925"/>
    <w:rsid w:val="00F56E87"/>
    <w:rsid w:val="00F638BA"/>
    <w:rsid w:val="00F648EC"/>
    <w:rsid w:val="00F70873"/>
    <w:rsid w:val="00F71C98"/>
    <w:rsid w:val="00F74618"/>
    <w:rsid w:val="00F81B54"/>
    <w:rsid w:val="00F85803"/>
    <w:rsid w:val="00FB6BC1"/>
    <w:rsid w:val="00FC0031"/>
    <w:rsid w:val="00FC5AE6"/>
    <w:rsid w:val="00FD2A59"/>
    <w:rsid w:val="00FE173E"/>
    <w:rsid w:val="00FF0B6B"/>
    <w:rsid w:val="00FF42C4"/>
    <w:rsid w:val="00FF45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unhideWhenUsed/>
    <w:rsid w:val="004230D8"/>
    <w:pPr>
      <w:spacing w:before="100" w:beforeAutospacing="1" w:after="100" w:afterAutospacing="1" w:line="240" w:lineRule="auto"/>
    </w:pPr>
    <w:rPr>
      <w:rFonts w:eastAsia="Times New Roman" w:cs="Times New Roman"/>
      <w:szCs w:val="24"/>
      <w:lang w:eastAsia="pl-PL"/>
    </w:rPr>
  </w:style>
  <w:style w:type="paragraph" w:styleId="Tekstpodstawowy">
    <w:name w:val="Body Text"/>
    <w:basedOn w:val="Normalny"/>
    <w:link w:val="TekstpodstawowyZnak"/>
    <w:semiHidden/>
    <w:unhideWhenUsed/>
    <w:rsid w:val="00283F22"/>
    <w:pPr>
      <w:spacing w:after="0" w:line="240" w:lineRule="auto"/>
      <w:jc w:val="both"/>
    </w:pPr>
    <w:rPr>
      <w:rFonts w:eastAsia="Times New Roman" w:cs="Times New Roman"/>
      <w:color w:val="000000"/>
      <w:szCs w:val="20"/>
      <w:lang w:eastAsia="pl-PL"/>
    </w:rPr>
  </w:style>
  <w:style w:type="character" w:customStyle="1" w:styleId="TekstpodstawowyZnak">
    <w:name w:val="Tekst podstawowy Znak"/>
    <w:basedOn w:val="Domylnaczcionkaakapitu"/>
    <w:link w:val="Tekstpodstawowy"/>
    <w:rsid w:val="00283F22"/>
    <w:rPr>
      <w:rFonts w:ascii="Times New Roman" w:eastAsia="Times New Roman" w:hAnsi="Times New Roman" w:cs="Times New Roman"/>
      <w:color w:val="000000"/>
      <w:sz w:val="24"/>
      <w:szCs w:val="20"/>
      <w:lang w:eastAsia="pl-PL"/>
    </w:rPr>
  </w:style>
  <w:style w:type="character" w:styleId="Hipercze">
    <w:name w:val="Hyperlink"/>
    <w:basedOn w:val="Domylnaczcionkaakapitu"/>
    <w:uiPriority w:val="99"/>
    <w:unhideWhenUsed/>
    <w:rsid w:val="002D1950"/>
    <w:rPr>
      <w:color w:val="0563C1" w:themeColor="hyperlink"/>
      <w:u w:val="single"/>
    </w:rPr>
  </w:style>
  <w:style w:type="character" w:styleId="Nierozpoznanawzmianka">
    <w:name w:val="Unresolved Mention"/>
    <w:basedOn w:val="Domylnaczcionkaakapitu"/>
    <w:uiPriority w:val="99"/>
    <w:semiHidden/>
    <w:unhideWhenUsed/>
    <w:rsid w:val="002D1950"/>
    <w:rPr>
      <w:color w:val="605E5C"/>
      <w:shd w:val="clear" w:color="auto" w:fill="E1DFDD"/>
    </w:rPr>
  </w:style>
  <w:style w:type="paragraph" w:styleId="Nagwek">
    <w:name w:val="header"/>
    <w:basedOn w:val="Normalny"/>
    <w:link w:val="NagwekZnak"/>
    <w:uiPriority w:val="99"/>
    <w:unhideWhenUsed/>
    <w:rsid w:val="00C57A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AB0"/>
    <w:rPr>
      <w:rFonts w:ascii="Times New Roman" w:hAnsi="Times New Roman"/>
      <w:sz w:val="24"/>
    </w:rPr>
  </w:style>
  <w:style w:type="paragraph" w:styleId="Stopka">
    <w:name w:val="footer"/>
    <w:basedOn w:val="Normalny"/>
    <w:link w:val="StopkaZnak"/>
    <w:uiPriority w:val="99"/>
    <w:unhideWhenUsed/>
    <w:rsid w:val="00C57A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B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2325">
      <w:bodyDiv w:val="1"/>
      <w:marLeft w:val="0"/>
      <w:marRight w:val="0"/>
      <w:marTop w:val="0"/>
      <w:marBottom w:val="0"/>
      <w:divBdr>
        <w:top w:val="none" w:sz="0" w:space="0" w:color="auto"/>
        <w:left w:val="none" w:sz="0" w:space="0" w:color="auto"/>
        <w:bottom w:val="none" w:sz="0" w:space="0" w:color="auto"/>
        <w:right w:val="none" w:sz="0" w:space="0" w:color="auto"/>
      </w:divBdr>
      <w:divsChild>
        <w:div w:id="2124960130">
          <w:marLeft w:val="0"/>
          <w:marRight w:val="0"/>
          <w:marTop w:val="150"/>
          <w:marBottom w:val="168"/>
          <w:divBdr>
            <w:top w:val="none" w:sz="0" w:space="0" w:color="auto"/>
            <w:left w:val="none" w:sz="0" w:space="0" w:color="auto"/>
            <w:bottom w:val="none" w:sz="0" w:space="0" w:color="auto"/>
            <w:right w:val="none" w:sz="0" w:space="0" w:color="auto"/>
          </w:divBdr>
        </w:div>
        <w:div w:id="578752416">
          <w:marLeft w:val="0"/>
          <w:marRight w:val="0"/>
          <w:marTop w:val="0"/>
          <w:marBottom w:val="0"/>
          <w:divBdr>
            <w:top w:val="none" w:sz="0" w:space="0" w:color="auto"/>
            <w:left w:val="none" w:sz="0" w:space="0" w:color="auto"/>
            <w:bottom w:val="none" w:sz="0" w:space="0" w:color="auto"/>
            <w:right w:val="none" w:sz="0" w:space="0" w:color="auto"/>
          </w:divBdr>
          <w:divsChild>
            <w:div w:id="2693577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2080124">
      <w:bodyDiv w:val="1"/>
      <w:marLeft w:val="0"/>
      <w:marRight w:val="0"/>
      <w:marTop w:val="0"/>
      <w:marBottom w:val="0"/>
      <w:divBdr>
        <w:top w:val="none" w:sz="0" w:space="0" w:color="auto"/>
        <w:left w:val="none" w:sz="0" w:space="0" w:color="auto"/>
        <w:bottom w:val="none" w:sz="0" w:space="0" w:color="auto"/>
        <w:right w:val="none" w:sz="0" w:space="0" w:color="auto"/>
      </w:divBdr>
    </w:div>
    <w:div w:id="540476403">
      <w:bodyDiv w:val="1"/>
      <w:marLeft w:val="0"/>
      <w:marRight w:val="0"/>
      <w:marTop w:val="0"/>
      <w:marBottom w:val="0"/>
      <w:divBdr>
        <w:top w:val="none" w:sz="0" w:space="0" w:color="auto"/>
        <w:left w:val="none" w:sz="0" w:space="0" w:color="auto"/>
        <w:bottom w:val="none" w:sz="0" w:space="0" w:color="auto"/>
        <w:right w:val="none" w:sz="0" w:space="0" w:color="auto"/>
      </w:divBdr>
    </w:div>
    <w:div w:id="613706153">
      <w:bodyDiv w:val="1"/>
      <w:marLeft w:val="0"/>
      <w:marRight w:val="0"/>
      <w:marTop w:val="0"/>
      <w:marBottom w:val="0"/>
      <w:divBdr>
        <w:top w:val="none" w:sz="0" w:space="0" w:color="auto"/>
        <w:left w:val="none" w:sz="0" w:space="0" w:color="auto"/>
        <w:bottom w:val="none" w:sz="0" w:space="0" w:color="auto"/>
        <w:right w:val="none" w:sz="0" w:space="0" w:color="auto"/>
      </w:divBdr>
    </w:div>
    <w:div w:id="704909050">
      <w:bodyDiv w:val="1"/>
      <w:marLeft w:val="0"/>
      <w:marRight w:val="0"/>
      <w:marTop w:val="0"/>
      <w:marBottom w:val="0"/>
      <w:divBdr>
        <w:top w:val="none" w:sz="0" w:space="0" w:color="auto"/>
        <w:left w:val="none" w:sz="0" w:space="0" w:color="auto"/>
        <w:bottom w:val="none" w:sz="0" w:space="0" w:color="auto"/>
        <w:right w:val="none" w:sz="0" w:space="0" w:color="auto"/>
      </w:divBdr>
    </w:div>
    <w:div w:id="816382270">
      <w:bodyDiv w:val="1"/>
      <w:marLeft w:val="0"/>
      <w:marRight w:val="0"/>
      <w:marTop w:val="0"/>
      <w:marBottom w:val="0"/>
      <w:divBdr>
        <w:top w:val="none" w:sz="0" w:space="0" w:color="auto"/>
        <w:left w:val="none" w:sz="0" w:space="0" w:color="auto"/>
        <w:bottom w:val="none" w:sz="0" w:space="0" w:color="auto"/>
        <w:right w:val="none" w:sz="0" w:space="0" w:color="auto"/>
      </w:divBdr>
    </w:div>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088815756">
      <w:bodyDiv w:val="1"/>
      <w:marLeft w:val="0"/>
      <w:marRight w:val="0"/>
      <w:marTop w:val="0"/>
      <w:marBottom w:val="0"/>
      <w:divBdr>
        <w:top w:val="none" w:sz="0" w:space="0" w:color="auto"/>
        <w:left w:val="none" w:sz="0" w:space="0" w:color="auto"/>
        <w:bottom w:val="none" w:sz="0" w:space="0" w:color="auto"/>
        <w:right w:val="none" w:sz="0" w:space="0" w:color="auto"/>
      </w:divBdr>
    </w:div>
    <w:div w:id="1115638791">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769155198">
      <w:bodyDiv w:val="1"/>
      <w:marLeft w:val="0"/>
      <w:marRight w:val="0"/>
      <w:marTop w:val="0"/>
      <w:marBottom w:val="0"/>
      <w:divBdr>
        <w:top w:val="none" w:sz="0" w:space="0" w:color="auto"/>
        <w:left w:val="none" w:sz="0" w:space="0" w:color="auto"/>
        <w:bottom w:val="none" w:sz="0" w:space="0" w:color="auto"/>
        <w:right w:val="none" w:sz="0" w:space="0" w:color="auto"/>
      </w:divBdr>
    </w:div>
    <w:div w:id="1912504201">
      <w:bodyDiv w:val="1"/>
      <w:marLeft w:val="0"/>
      <w:marRight w:val="0"/>
      <w:marTop w:val="0"/>
      <w:marBottom w:val="0"/>
      <w:divBdr>
        <w:top w:val="none" w:sz="0" w:space="0" w:color="auto"/>
        <w:left w:val="none" w:sz="0" w:space="0" w:color="auto"/>
        <w:bottom w:val="none" w:sz="0" w:space="0" w:color="auto"/>
        <w:right w:val="none" w:sz="0" w:space="0" w:color="auto"/>
      </w:divBdr>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 w:id="2004043576">
      <w:bodyDiv w:val="1"/>
      <w:marLeft w:val="0"/>
      <w:marRight w:val="0"/>
      <w:marTop w:val="0"/>
      <w:marBottom w:val="0"/>
      <w:divBdr>
        <w:top w:val="none" w:sz="0" w:space="0" w:color="auto"/>
        <w:left w:val="none" w:sz="0" w:space="0" w:color="auto"/>
        <w:bottom w:val="none" w:sz="0" w:space="0" w:color="auto"/>
        <w:right w:val="none" w:sz="0" w:space="0" w:color="auto"/>
      </w:divBdr>
    </w:div>
    <w:div w:id="2074036261">
      <w:bodyDiv w:val="1"/>
      <w:marLeft w:val="0"/>
      <w:marRight w:val="0"/>
      <w:marTop w:val="0"/>
      <w:marBottom w:val="0"/>
      <w:divBdr>
        <w:top w:val="none" w:sz="0" w:space="0" w:color="auto"/>
        <w:left w:val="none" w:sz="0" w:space="0" w:color="auto"/>
        <w:bottom w:val="none" w:sz="0" w:space="0" w:color="auto"/>
        <w:right w:val="none" w:sz="0" w:space="0" w:color="auto"/>
      </w:divBdr>
    </w:div>
    <w:div w:id="2079211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5991</Words>
  <Characters>35949</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Duma Joanna</cp:lastModifiedBy>
  <cp:revision>2</cp:revision>
  <cp:lastPrinted>2024-01-24T15:46:00Z</cp:lastPrinted>
  <dcterms:created xsi:type="dcterms:W3CDTF">2026-01-23T08:46:00Z</dcterms:created>
  <dcterms:modified xsi:type="dcterms:W3CDTF">2026-01-23T08:46:00Z</dcterms:modified>
</cp:coreProperties>
</file>